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2BC69" w14:textId="12818118" w:rsidR="00646FA2" w:rsidRDefault="003F1A54">
      <w:pPr>
        <w:tabs>
          <w:tab w:val="left" w:pos="7371"/>
        </w:tabs>
        <w:spacing w:line="360" w:lineRule="auto"/>
        <w:ind w:left="0" w:hanging="2"/>
        <w:jc w:val="center"/>
        <w:rPr>
          <w:rFonts w:ascii="Arial" w:eastAsia="Arial" w:hAnsi="Arial" w:cs="Arial"/>
          <w:sz w:val="24"/>
          <w:szCs w:val="24"/>
          <w:u w:val="single"/>
        </w:rPr>
      </w:pPr>
      <w:r>
        <w:rPr>
          <w:rFonts w:ascii="Arial" w:eastAsia="Arial" w:hAnsi="Arial" w:cs="Arial"/>
          <w:b/>
          <w:sz w:val="24"/>
          <w:szCs w:val="24"/>
          <w:u w:val="single"/>
        </w:rPr>
        <w:t xml:space="preserve">ATA N° </w:t>
      </w:r>
      <w:r w:rsidR="00913ADA">
        <w:rPr>
          <w:rFonts w:ascii="Arial" w:eastAsia="Arial" w:hAnsi="Arial" w:cs="Arial"/>
          <w:b/>
          <w:sz w:val="24"/>
          <w:szCs w:val="24"/>
          <w:u w:val="single"/>
        </w:rPr>
        <w:t>10</w:t>
      </w:r>
      <w:r w:rsidR="003F7978">
        <w:rPr>
          <w:rFonts w:ascii="Arial" w:eastAsia="Arial" w:hAnsi="Arial" w:cs="Arial"/>
          <w:b/>
          <w:sz w:val="24"/>
          <w:szCs w:val="24"/>
          <w:u w:val="single"/>
        </w:rPr>
        <w:t xml:space="preserve">/2024 </w:t>
      </w:r>
      <w:r w:rsidR="00297258">
        <w:rPr>
          <w:rFonts w:ascii="Arial" w:eastAsia="Arial" w:hAnsi="Arial" w:cs="Arial"/>
          <w:b/>
          <w:sz w:val="24"/>
          <w:szCs w:val="24"/>
          <w:u w:val="single"/>
        </w:rPr>
        <w:t>2</w:t>
      </w:r>
      <w:r w:rsidR="00913ADA">
        <w:rPr>
          <w:rFonts w:ascii="Arial" w:eastAsia="Arial" w:hAnsi="Arial" w:cs="Arial"/>
          <w:b/>
          <w:sz w:val="24"/>
          <w:szCs w:val="24"/>
          <w:u w:val="single"/>
        </w:rPr>
        <w:t>3</w:t>
      </w:r>
      <w:r w:rsidR="00E85C64">
        <w:rPr>
          <w:rFonts w:ascii="Arial" w:eastAsia="Arial" w:hAnsi="Arial" w:cs="Arial"/>
          <w:b/>
          <w:sz w:val="24"/>
          <w:szCs w:val="24"/>
          <w:u w:val="single"/>
        </w:rPr>
        <w:t>/</w:t>
      </w:r>
      <w:r w:rsidR="00913ADA">
        <w:rPr>
          <w:rFonts w:ascii="Arial" w:eastAsia="Arial" w:hAnsi="Arial" w:cs="Arial"/>
          <w:b/>
          <w:sz w:val="24"/>
          <w:szCs w:val="24"/>
          <w:u w:val="single"/>
        </w:rPr>
        <w:t>10</w:t>
      </w:r>
      <w:r w:rsidR="004414FA">
        <w:rPr>
          <w:rFonts w:ascii="Arial" w:eastAsia="Arial" w:hAnsi="Arial" w:cs="Arial"/>
          <w:b/>
          <w:sz w:val="24"/>
          <w:szCs w:val="24"/>
          <w:u w:val="single"/>
        </w:rPr>
        <w:t>/202</w:t>
      </w:r>
      <w:r w:rsidR="00297258">
        <w:rPr>
          <w:rFonts w:ascii="Arial" w:eastAsia="Arial" w:hAnsi="Arial" w:cs="Arial"/>
          <w:b/>
          <w:sz w:val="24"/>
          <w:szCs w:val="24"/>
          <w:u w:val="single"/>
        </w:rPr>
        <w:t>4</w:t>
      </w:r>
    </w:p>
    <w:p w14:paraId="4662EA73" w14:textId="77777777" w:rsidR="00646FA2" w:rsidRDefault="003F1A54">
      <w:pPr>
        <w:spacing w:line="360" w:lineRule="auto"/>
        <w:ind w:left="0" w:hanging="2"/>
        <w:jc w:val="center"/>
        <w:rPr>
          <w:rFonts w:ascii="Arial" w:eastAsia="Arial" w:hAnsi="Arial" w:cs="Arial"/>
          <w:sz w:val="24"/>
          <w:szCs w:val="24"/>
          <w:u w:val="single"/>
        </w:rPr>
      </w:pPr>
      <w:r>
        <w:rPr>
          <w:rFonts w:ascii="Arial" w:eastAsia="Arial" w:hAnsi="Arial" w:cs="Arial"/>
          <w:b/>
          <w:sz w:val="24"/>
          <w:szCs w:val="24"/>
          <w:u w:val="single"/>
        </w:rPr>
        <w:t xml:space="preserve">REUNIÃO ORDINÁRIA DO COMITÊ DE INVESTIMENTOS DO TAIOPREV </w:t>
      </w:r>
    </w:p>
    <w:p w14:paraId="4E67C561" w14:textId="621AA1B5" w:rsidR="00646FA2" w:rsidRPr="00CD4D23" w:rsidRDefault="003F1A54" w:rsidP="00CD4D23">
      <w:pPr>
        <w:spacing w:line="360" w:lineRule="auto"/>
        <w:ind w:left="0" w:hanging="2"/>
        <w:jc w:val="both"/>
        <w:rPr>
          <w:rFonts w:ascii="Arial" w:eastAsia="Arial" w:hAnsi="Arial" w:cs="Arial"/>
          <w:b/>
          <w:sz w:val="24"/>
          <w:szCs w:val="24"/>
        </w:rPr>
      </w:pPr>
      <w:r>
        <w:rPr>
          <w:rFonts w:ascii="Arial" w:eastAsia="Arial" w:hAnsi="Arial" w:cs="Arial"/>
          <w:sz w:val="24"/>
          <w:szCs w:val="24"/>
        </w:rPr>
        <w:t xml:space="preserve">Ata da reunião ordinária do Comitê de Investimentos do TAIOPREV – Instituto de Previdência Social dos Servidores Públicos do Município de Taió – SC. Ao </w:t>
      </w:r>
      <w:r w:rsidR="00B06639">
        <w:rPr>
          <w:rFonts w:ascii="Arial" w:eastAsia="Arial" w:hAnsi="Arial" w:cs="Arial"/>
          <w:sz w:val="24"/>
          <w:szCs w:val="24"/>
        </w:rPr>
        <w:t>vigésimo</w:t>
      </w:r>
      <w:r w:rsidR="00AE5F76">
        <w:rPr>
          <w:rFonts w:ascii="Arial" w:eastAsia="Arial" w:hAnsi="Arial" w:cs="Arial"/>
          <w:sz w:val="24"/>
          <w:szCs w:val="24"/>
        </w:rPr>
        <w:t xml:space="preserve"> </w:t>
      </w:r>
      <w:r w:rsidR="00913ADA">
        <w:rPr>
          <w:rFonts w:ascii="Arial" w:eastAsia="Arial" w:hAnsi="Arial" w:cs="Arial"/>
          <w:sz w:val="24"/>
          <w:szCs w:val="24"/>
        </w:rPr>
        <w:t xml:space="preserve">terceiro </w:t>
      </w:r>
      <w:r w:rsidR="00AE5F76">
        <w:rPr>
          <w:rFonts w:ascii="Arial" w:eastAsia="Arial" w:hAnsi="Arial" w:cs="Arial"/>
          <w:sz w:val="24"/>
          <w:szCs w:val="24"/>
        </w:rPr>
        <w:t xml:space="preserve">dia do mês de </w:t>
      </w:r>
      <w:r w:rsidR="00E85C64">
        <w:rPr>
          <w:rFonts w:ascii="Arial" w:eastAsia="Arial" w:hAnsi="Arial" w:cs="Arial"/>
          <w:sz w:val="24"/>
          <w:szCs w:val="24"/>
        </w:rPr>
        <w:t xml:space="preserve">setembro </w:t>
      </w:r>
      <w:r>
        <w:rPr>
          <w:rFonts w:ascii="Arial" w:eastAsia="Arial" w:hAnsi="Arial" w:cs="Arial"/>
          <w:sz w:val="24"/>
          <w:szCs w:val="24"/>
        </w:rPr>
        <w:t xml:space="preserve">de dois mil e vinte e quatro, reuniram-se os seguintes membros do Comitê de Investimentos na sala de reuniões do TAIÓPREV: Tayse Ariane Geremias, Vanessa Manchein e Irinéia De Lurdes Cardoso Baldessar. A reunião foi aberta </w:t>
      </w:r>
      <w:r w:rsidR="00A710F7">
        <w:rPr>
          <w:rFonts w:ascii="Arial" w:eastAsia="Arial" w:hAnsi="Arial" w:cs="Arial"/>
          <w:sz w:val="24"/>
          <w:szCs w:val="24"/>
        </w:rPr>
        <w:t xml:space="preserve">por </w:t>
      </w:r>
      <w:r w:rsidR="004414FA">
        <w:rPr>
          <w:rFonts w:ascii="Arial" w:eastAsia="Arial" w:hAnsi="Arial" w:cs="Arial"/>
          <w:sz w:val="24"/>
          <w:szCs w:val="24"/>
        </w:rPr>
        <w:t>Tayse</w:t>
      </w:r>
      <w:r>
        <w:rPr>
          <w:rFonts w:ascii="Arial" w:eastAsia="Arial" w:hAnsi="Arial" w:cs="Arial"/>
          <w:sz w:val="24"/>
          <w:szCs w:val="24"/>
        </w:rPr>
        <w:t xml:space="preserve"> </w:t>
      </w:r>
      <w:r w:rsidR="00A710F7">
        <w:rPr>
          <w:rFonts w:ascii="Arial" w:eastAsia="Arial" w:hAnsi="Arial" w:cs="Arial"/>
          <w:sz w:val="24"/>
          <w:szCs w:val="24"/>
        </w:rPr>
        <w:t>que cumprimentou a todos e leu a pauta da reunião, sendo este,</w:t>
      </w:r>
      <w:r w:rsidR="00CE531E" w:rsidRPr="00CE531E">
        <w:t xml:space="preserve"> </w:t>
      </w:r>
      <w:r w:rsidR="00CE531E" w:rsidRPr="00CE531E">
        <w:rPr>
          <w:rFonts w:ascii="Arial" w:eastAsia="Arial" w:hAnsi="Arial" w:cs="Arial"/>
          <w:sz w:val="24"/>
          <w:szCs w:val="24"/>
        </w:rPr>
        <w:t>1.</w:t>
      </w:r>
      <w:r w:rsidR="007C09B5">
        <w:rPr>
          <w:rFonts w:ascii="Arial" w:eastAsia="Arial" w:hAnsi="Arial" w:cs="Arial"/>
          <w:sz w:val="24"/>
          <w:szCs w:val="24"/>
        </w:rPr>
        <w:t xml:space="preserve"> </w:t>
      </w:r>
      <w:r w:rsidR="00CE531E" w:rsidRPr="00CE531E">
        <w:rPr>
          <w:rFonts w:ascii="Arial" w:eastAsia="Arial" w:hAnsi="Arial" w:cs="Arial"/>
          <w:sz w:val="24"/>
          <w:szCs w:val="24"/>
        </w:rPr>
        <w:t>Leitura e aprovação da ata anterior</w:t>
      </w:r>
      <w:r w:rsidR="00CE531E">
        <w:rPr>
          <w:rFonts w:ascii="Arial" w:eastAsia="Arial" w:hAnsi="Arial" w:cs="Arial"/>
          <w:sz w:val="24"/>
          <w:szCs w:val="24"/>
        </w:rPr>
        <w:t xml:space="preserve">; </w:t>
      </w:r>
      <w:r w:rsidR="00CE531E" w:rsidRPr="00CE531E">
        <w:rPr>
          <w:rFonts w:ascii="Arial" w:eastAsia="Arial" w:hAnsi="Arial" w:cs="Arial"/>
          <w:sz w:val="24"/>
          <w:szCs w:val="24"/>
        </w:rPr>
        <w:t>2.</w:t>
      </w:r>
      <w:r w:rsidR="002F4340">
        <w:rPr>
          <w:rFonts w:ascii="Arial" w:eastAsia="Arial" w:hAnsi="Arial" w:cs="Arial"/>
          <w:sz w:val="24"/>
          <w:szCs w:val="24"/>
        </w:rPr>
        <w:t xml:space="preserve"> </w:t>
      </w:r>
      <w:r w:rsidR="00CE531E" w:rsidRPr="00CE531E">
        <w:rPr>
          <w:rFonts w:ascii="Arial" w:eastAsia="Arial" w:hAnsi="Arial" w:cs="Arial"/>
          <w:sz w:val="24"/>
          <w:szCs w:val="24"/>
        </w:rPr>
        <w:t>Apresentação do cenário econômico</w:t>
      </w:r>
      <w:r w:rsidR="00CE531E">
        <w:rPr>
          <w:rFonts w:ascii="Arial" w:eastAsia="Arial" w:hAnsi="Arial" w:cs="Arial"/>
          <w:sz w:val="24"/>
          <w:szCs w:val="24"/>
        </w:rPr>
        <w:t xml:space="preserve">; </w:t>
      </w:r>
      <w:r w:rsidR="00CE531E" w:rsidRPr="00CE531E">
        <w:rPr>
          <w:rFonts w:ascii="Arial" w:eastAsia="Arial" w:hAnsi="Arial" w:cs="Arial"/>
          <w:sz w:val="24"/>
          <w:szCs w:val="24"/>
        </w:rPr>
        <w:t>3.</w:t>
      </w:r>
      <w:r w:rsidR="00E54754">
        <w:rPr>
          <w:rFonts w:ascii="Arial" w:eastAsia="Arial" w:hAnsi="Arial" w:cs="Arial"/>
          <w:sz w:val="24"/>
          <w:szCs w:val="24"/>
        </w:rPr>
        <w:t xml:space="preserve"> </w:t>
      </w:r>
      <w:r w:rsidR="00CE531E" w:rsidRPr="00CE531E">
        <w:rPr>
          <w:rFonts w:ascii="Arial" w:eastAsia="Arial" w:hAnsi="Arial" w:cs="Arial"/>
          <w:sz w:val="24"/>
          <w:szCs w:val="24"/>
        </w:rPr>
        <w:t xml:space="preserve">Apresentação do relatório de investimentos </w:t>
      </w:r>
      <w:r w:rsidR="007C09B5">
        <w:rPr>
          <w:rFonts w:ascii="Arial" w:eastAsia="Arial" w:hAnsi="Arial" w:cs="Arial"/>
          <w:sz w:val="24"/>
          <w:szCs w:val="24"/>
        </w:rPr>
        <w:t xml:space="preserve">de </w:t>
      </w:r>
      <w:r w:rsidR="00913ADA">
        <w:rPr>
          <w:rFonts w:ascii="Arial" w:eastAsia="Arial" w:hAnsi="Arial" w:cs="Arial"/>
          <w:sz w:val="24"/>
          <w:szCs w:val="24"/>
        </w:rPr>
        <w:t>Setembro</w:t>
      </w:r>
      <w:r w:rsidR="00AE5F76">
        <w:rPr>
          <w:rFonts w:ascii="Arial" w:eastAsia="Arial" w:hAnsi="Arial" w:cs="Arial"/>
          <w:sz w:val="24"/>
          <w:szCs w:val="24"/>
        </w:rPr>
        <w:t>/</w:t>
      </w:r>
      <w:r w:rsidR="00CE531E" w:rsidRPr="00CE531E">
        <w:rPr>
          <w:rFonts w:ascii="Arial" w:eastAsia="Arial" w:hAnsi="Arial" w:cs="Arial"/>
          <w:sz w:val="24"/>
          <w:szCs w:val="24"/>
        </w:rPr>
        <w:t xml:space="preserve">2024 </w:t>
      </w:r>
      <w:r w:rsidR="00CE531E">
        <w:rPr>
          <w:rFonts w:ascii="Arial" w:eastAsia="Arial" w:hAnsi="Arial" w:cs="Arial"/>
          <w:sz w:val="24"/>
          <w:szCs w:val="24"/>
        </w:rPr>
        <w:t>;</w:t>
      </w:r>
      <w:r w:rsidR="00896024">
        <w:rPr>
          <w:rFonts w:ascii="Arial" w:eastAsia="Arial" w:hAnsi="Arial" w:cs="Arial"/>
          <w:sz w:val="24"/>
          <w:szCs w:val="24"/>
        </w:rPr>
        <w:t xml:space="preserve"> </w:t>
      </w:r>
      <w:r w:rsidR="00AE5F76">
        <w:rPr>
          <w:rFonts w:ascii="Arial" w:eastAsia="Arial" w:hAnsi="Arial" w:cs="Arial"/>
          <w:sz w:val="24"/>
          <w:szCs w:val="24"/>
        </w:rPr>
        <w:t>4</w:t>
      </w:r>
      <w:r w:rsidR="004414FA">
        <w:rPr>
          <w:rFonts w:ascii="Arial" w:eastAsia="Arial" w:hAnsi="Arial" w:cs="Arial"/>
          <w:sz w:val="24"/>
          <w:szCs w:val="24"/>
        </w:rPr>
        <w:t xml:space="preserve">. Analise da evolução e execução do orçamento do RPPS e análise dos dados atualizados dos fluxos de caixa e dos investimentos no curto e longo prazo. </w:t>
      </w:r>
      <w:r w:rsidR="00AE5F76">
        <w:rPr>
          <w:rFonts w:ascii="Arial" w:eastAsia="Arial" w:hAnsi="Arial" w:cs="Arial"/>
          <w:sz w:val="24"/>
          <w:szCs w:val="24"/>
        </w:rPr>
        <w:t>5</w:t>
      </w:r>
      <w:r w:rsidR="004414FA">
        <w:rPr>
          <w:rFonts w:ascii="Arial" w:eastAsia="Arial" w:hAnsi="Arial" w:cs="Arial"/>
          <w:sz w:val="24"/>
          <w:szCs w:val="24"/>
        </w:rPr>
        <w:t xml:space="preserve">. Estudo de propostas de investimentos considerando – risco de crédito, de mercado, de liquidez e operacional; </w:t>
      </w:r>
      <w:r w:rsidR="00896024">
        <w:rPr>
          <w:rFonts w:ascii="Arial" w:eastAsia="Arial" w:hAnsi="Arial" w:cs="Arial"/>
          <w:sz w:val="24"/>
          <w:szCs w:val="24"/>
        </w:rPr>
        <w:t>6</w:t>
      </w:r>
      <w:r w:rsidR="00297258">
        <w:rPr>
          <w:rFonts w:ascii="Arial" w:eastAsia="Arial" w:hAnsi="Arial" w:cs="Arial"/>
          <w:sz w:val="24"/>
          <w:szCs w:val="24"/>
        </w:rPr>
        <w:t xml:space="preserve">. </w:t>
      </w:r>
      <w:r w:rsidR="004F3A33">
        <w:rPr>
          <w:rFonts w:ascii="Arial" w:eastAsia="Arial" w:hAnsi="Arial" w:cs="Arial"/>
          <w:sz w:val="24"/>
          <w:szCs w:val="24"/>
        </w:rPr>
        <w:t>Avaliação de Fundos para destinação de aporte</w:t>
      </w:r>
      <w:r w:rsidR="00913ADA">
        <w:rPr>
          <w:rFonts w:ascii="Arial" w:eastAsia="Arial" w:hAnsi="Arial" w:cs="Arial"/>
          <w:sz w:val="24"/>
          <w:szCs w:val="24"/>
        </w:rPr>
        <w:t xml:space="preserve">. </w:t>
      </w:r>
      <w:r w:rsidR="004F3A33">
        <w:rPr>
          <w:rFonts w:ascii="Arial" w:eastAsia="Arial" w:hAnsi="Arial" w:cs="Arial"/>
          <w:sz w:val="24"/>
          <w:szCs w:val="24"/>
        </w:rPr>
        <w:t xml:space="preserve">7. </w:t>
      </w:r>
      <w:r w:rsidR="00CE531E" w:rsidRPr="00CE531E">
        <w:rPr>
          <w:rFonts w:ascii="Arial" w:eastAsia="Arial" w:hAnsi="Arial" w:cs="Arial"/>
          <w:sz w:val="24"/>
          <w:szCs w:val="24"/>
        </w:rPr>
        <w:t>Elaboração do Parecer para envio ao Conselho Fiscal</w:t>
      </w:r>
      <w:r w:rsidR="00CE531E">
        <w:rPr>
          <w:rFonts w:ascii="Arial" w:eastAsia="Arial" w:hAnsi="Arial" w:cs="Arial"/>
          <w:sz w:val="24"/>
          <w:szCs w:val="24"/>
        </w:rPr>
        <w:t xml:space="preserve">; </w:t>
      </w:r>
      <w:bookmarkStart w:id="0" w:name="_Hlk180586322"/>
      <w:r w:rsidR="009A2E96">
        <w:rPr>
          <w:rFonts w:ascii="Arial" w:eastAsia="Arial" w:hAnsi="Arial" w:cs="Arial"/>
          <w:sz w:val="24"/>
          <w:szCs w:val="24"/>
        </w:rPr>
        <w:t>8</w:t>
      </w:r>
      <w:r w:rsidR="009A2E96" w:rsidRPr="00CE531E">
        <w:rPr>
          <w:rFonts w:ascii="Arial" w:eastAsia="Arial" w:hAnsi="Arial" w:cs="Arial"/>
          <w:sz w:val="24"/>
          <w:szCs w:val="24"/>
        </w:rPr>
        <w:t>.</w:t>
      </w:r>
      <w:r w:rsidR="009A2E96">
        <w:rPr>
          <w:rFonts w:ascii="Arial" w:eastAsia="Arial" w:hAnsi="Arial" w:cs="Arial"/>
          <w:sz w:val="24"/>
          <w:szCs w:val="24"/>
        </w:rPr>
        <w:t xml:space="preserve"> </w:t>
      </w:r>
      <w:r w:rsidR="00913ADA">
        <w:rPr>
          <w:rFonts w:ascii="Arial" w:eastAsia="Arial" w:hAnsi="Arial" w:cs="Arial"/>
          <w:sz w:val="24"/>
          <w:szCs w:val="24"/>
        </w:rPr>
        <w:t>Política de Investimentos 2025.</w:t>
      </w:r>
      <w:r w:rsidR="00355E94">
        <w:rPr>
          <w:rFonts w:ascii="Arial" w:eastAsia="Arial" w:hAnsi="Arial" w:cs="Arial"/>
          <w:sz w:val="24"/>
          <w:szCs w:val="24"/>
        </w:rPr>
        <w:t xml:space="preserve"> </w:t>
      </w:r>
      <w:r w:rsidR="00395894" w:rsidRPr="00395894">
        <w:rPr>
          <w:rFonts w:ascii="Arial" w:eastAsia="Arial" w:hAnsi="Arial" w:cs="Arial"/>
          <w:sz w:val="24"/>
          <w:szCs w:val="24"/>
        </w:rPr>
        <w:t xml:space="preserve">9. </w:t>
      </w:r>
      <w:r w:rsidR="00913ADA">
        <w:rPr>
          <w:rFonts w:ascii="Arial" w:eastAsia="Arial" w:hAnsi="Arial" w:cs="Arial"/>
          <w:sz w:val="24"/>
          <w:szCs w:val="24"/>
        </w:rPr>
        <w:t>Calendário de Reuniões 2025</w:t>
      </w:r>
      <w:r w:rsidR="00395894" w:rsidRPr="00395894">
        <w:rPr>
          <w:rFonts w:ascii="Arial" w:eastAsia="Arial" w:hAnsi="Arial" w:cs="Arial"/>
          <w:sz w:val="24"/>
          <w:szCs w:val="24"/>
        </w:rPr>
        <w:t>.</w:t>
      </w:r>
      <w:r w:rsidR="00913ADA">
        <w:rPr>
          <w:rFonts w:ascii="Arial" w:eastAsia="Arial" w:hAnsi="Arial" w:cs="Arial"/>
          <w:sz w:val="24"/>
          <w:szCs w:val="24"/>
        </w:rPr>
        <w:t xml:space="preserve"> </w:t>
      </w:r>
      <w:r w:rsidR="00395894">
        <w:rPr>
          <w:rFonts w:ascii="Arial" w:eastAsia="Arial" w:hAnsi="Arial" w:cs="Arial"/>
          <w:sz w:val="24"/>
          <w:szCs w:val="24"/>
        </w:rPr>
        <w:t>10</w:t>
      </w:r>
      <w:r w:rsidR="00355E94">
        <w:rPr>
          <w:rFonts w:ascii="Arial" w:eastAsia="Arial" w:hAnsi="Arial" w:cs="Arial"/>
          <w:sz w:val="24"/>
          <w:szCs w:val="24"/>
        </w:rPr>
        <w:t xml:space="preserve">. </w:t>
      </w:r>
      <w:r w:rsidR="007C09B5">
        <w:rPr>
          <w:rFonts w:ascii="Arial" w:eastAsia="Arial" w:hAnsi="Arial" w:cs="Arial"/>
          <w:sz w:val="24"/>
          <w:szCs w:val="24"/>
        </w:rPr>
        <w:t xml:space="preserve"> </w:t>
      </w:r>
      <w:r w:rsidR="00CE531E" w:rsidRPr="00CE531E">
        <w:rPr>
          <w:rFonts w:ascii="Arial" w:eastAsia="Arial" w:hAnsi="Arial" w:cs="Arial"/>
          <w:sz w:val="24"/>
          <w:szCs w:val="24"/>
        </w:rPr>
        <w:t>Assuntos Gerais</w:t>
      </w:r>
      <w:bookmarkEnd w:id="0"/>
      <w:r w:rsidR="00CE531E">
        <w:rPr>
          <w:rFonts w:ascii="Arial" w:eastAsia="Arial" w:hAnsi="Arial" w:cs="Arial"/>
          <w:sz w:val="24"/>
          <w:szCs w:val="24"/>
        </w:rPr>
        <w:t>;</w:t>
      </w:r>
      <w:r>
        <w:rPr>
          <w:rFonts w:ascii="Arial" w:eastAsia="Arial" w:hAnsi="Arial" w:cs="Arial"/>
          <w:sz w:val="24"/>
          <w:szCs w:val="24"/>
        </w:rPr>
        <w:t xml:space="preserve"> </w:t>
      </w:r>
      <w:r w:rsidR="003F7978" w:rsidRPr="003F7978">
        <w:rPr>
          <w:rFonts w:ascii="Arial" w:eastAsia="Arial" w:hAnsi="Arial" w:cs="Arial"/>
          <w:b/>
          <w:sz w:val="24"/>
          <w:szCs w:val="24"/>
        </w:rPr>
        <w:t>01. Leitura e aprovação da ata anterior</w:t>
      </w:r>
      <w:r>
        <w:rPr>
          <w:rFonts w:ascii="Arial" w:eastAsia="Arial" w:hAnsi="Arial" w:cs="Arial"/>
          <w:b/>
          <w:sz w:val="24"/>
          <w:szCs w:val="24"/>
        </w:rPr>
        <w:t>.</w:t>
      </w:r>
      <w:r>
        <w:rPr>
          <w:rFonts w:ascii="Arial" w:eastAsia="Arial" w:hAnsi="Arial" w:cs="Arial"/>
          <w:sz w:val="24"/>
          <w:szCs w:val="24"/>
        </w:rPr>
        <w:t xml:space="preserve"> Dando início a reunião,</w:t>
      </w:r>
      <w:r w:rsidR="00933D29">
        <w:rPr>
          <w:rFonts w:ascii="Arial" w:eastAsia="Arial" w:hAnsi="Arial" w:cs="Arial"/>
          <w:sz w:val="24"/>
          <w:szCs w:val="24"/>
        </w:rPr>
        <w:t xml:space="preserve"> </w:t>
      </w:r>
      <w:r w:rsidR="004414FA">
        <w:rPr>
          <w:rFonts w:ascii="Arial" w:eastAsia="Arial" w:hAnsi="Arial" w:cs="Arial"/>
          <w:sz w:val="24"/>
          <w:szCs w:val="24"/>
        </w:rPr>
        <w:t>Tayse</w:t>
      </w:r>
      <w:r w:rsidR="004C31D0">
        <w:rPr>
          <w:rFonts w:ascii="Arial" w:eastAsia="Arial" w:hAnsi="Arial" w:cs="Arial"/>
          <w:sz w:val="24"/>
          <w:szCs w:val="24"/>
        </w:rPr>
        <w:t xml:space="preserve"> realizou</w:t>
      </w:r>
      <w:r w:rsidR="00933D29">
        <w:rPr>
          <w:rFonts w:ascii="Arial" w:eastAsia="Arial" w:hAnsi="Arial" w:cs="Arial"/>
          <w:sz w:val="24"/>
          <w:szCs w:val="24"/>
        </w:rPr>
        <w:t xml:space="preserve"> a leitura da ata do dia </w:t>
      </w:r>
      <w:r w:rsidR="00913ADA">
        <w:rPr>
          <w:rFonts w:ascii="Arial" w:eastAsia="Arial" w:hAnsi="Arial" w:cs="Arial"/>
          <w:sz w:val="24"/>
          <w:szCs w:val="24"/>
        </w:rPr>
        <w:t>25/09/2024</w:t>
      </w:r>
      <w:r w:rsidR="00933D29">
        <w:rPr>
          <w:rFonts w:ascii="Arial" w:eastAsia="Arial" w:hAnsi="Arial" w:cs="Arial"/>
          <w:sz w:val="24"/>
          <w:szCs w:val="24"/>
        </w:rPr>
        <w:t xml:space="preserve">, sendo </w:t>
      </w:r>
      <w:r w:rsidR="00560B20">
        <w:rPr>
          <w:rFonts w:ascii="Arial" w:eastAsia="Arial" w:hAnsi="Arial" w:cs="Arial"/>
          <w:sz w:val="24"/>
          <w:szCs w:val="24"/>
        </w:rPr>
        <w:t>está</w:t>
      </w:r>
      <w:r w:rsidR="00933D29">
        <w:rPr>
          <w:rFonts w:ascii="Arial" w:eastAsia="Arial" w:hAnsi="Arial" w:cs="Arial"/>
          <w:sz w:val="24"/>
          <w:szCs w:val="24"/>
        </w:rPr>
        <w:t xml:space="preserve"> aprovada por todos. </w:t>
      </w:r>
      <w:r w:rsidR="00933D29" w:rsidRPr="00933D29">
        <w:rPr>
          <w:rFonts w:ascii="Arial" w:eastAsia="Arial" w:hAnsi="Arial" w:cs="Arial"/>
          <w:b/>
          <w:bCs/>
          <w:sz w:val="24"/>
          <w:szCs w:val="24"/>
        </w:rPr>
        <w:t>2.</w:t>
      </w:r>
      <w:r w:rsidR="00A710F7">
        <w:rPr>
          <w:rFonts w:ascii="Arial" w:eastAsia="Arial" w:hAnsi="Arial" w:cs="Arial"/>
          <w:b/>
          <w:bCs/>
          <w:sz w:val="24"/>
          <w:szCs w:val="24"/>
        </w:rPr>
        <w:t xml:space="preserve"> </w:t>
      </w:r>
      <w:r w:rsidR="00933D29" w:rsidRPr="00933D29">
        <w:rPr>
          <w:rFonts w:ascii="Arial" w:eastAsia="Arial" w:hAnsi="Arial" w:cs="Arial"/>
          <w:b/>
          <w:bCs/>
          <w:sz w:val="24"/>
          <w:szCs w:val="24"/>
        </w:rPr>
        <w:t>Apresentação do cenário econômico</w:t>
      </w:r>
      <w:r w:rsidR="00933D29" w:rsidRPr="00933D29">
        <w:rPr>
          <w:rFonts w:ascii="Arial" w:eastAsia="Arial" w:hAnsi="Arial" w:cs="Arial"/>
          <w:sz w:val="24"/>
          <w:szCs w:val="24"/>
        </w:rPr>
        <w:t>;</w:t>
      </w:r>
      <w:r w:rsidR="00933D29">
        <w:rPr>
          <w:rFonts w:ascii="Arial" w:eastAsia="Arial" w:hAnsi="Arial" w:cs="Arial"/>
          <w:sz w:val="24"/>
          <w:szCs w:val="24"/>
        </w:rPr>
        <w:t xml:space="preserve"> </w:t>
      </w:r>
      <w:r w:rsidR="004414FA">
        <w:rPr>
          <w:rFonts w:ascii="Arial" w:eastAsia="Arial" w:hAnsi="Arial" w:cs="Arial"/>
          <w:bCs/>
          <w:sz w:val="24"/>
          <w:szCs w:val="24"/>
        </w:rPr>
        <w:t>Tayse</w:t>
      </w:r>
      <w:r w:rsidRPr="00933D29">
        <w:rPr>
          <w:rFonts w:ascii="Arial" w:eastAsia="Arial" w:hAnsi="Arial" w:cs="Arial"/>
          <w:bCs/>
          <w:sz w:val="24"/>
          <w:szCs w:val="24"/>
        </w:rPr>
        <w:t xml:space="preserve"> </w:t>
      </w:r>
      <w:r w:rsidR="00913ADA">
        <w:rPr>
          <w:rFonts w:ascii="Arial" w:eastAsia="Arial" w:hAnsi="Arial" w:cs="Arial"/>
          <w:bCs/>
          <w:sz w:val="24"/>
          <w:szCs w:val="24"/>
        </w:rPr>
        <w:t>apresentou o cenário econômico de acordo conta no relatório de investimentos do fechamento do mês de setembro, aonde o</w:t>
      </w:r>
      <w:r w:rsidR="00913ADA" w:rsidRPr="00913ADA">
        <w:rPr>
          <w:rFonts w:ascii="Arial" w:eastAsia="Arial" w:hAnsi="Arial" w:cs="Arial"/>
          <w:bCs/>
          <w:sz w:val="24"/>
          <w:szCs w:val="24"/>
        </w:rPr>
        <w:t>s ativos de risco nos mercados internacionais apresentaram rentabilidade positiva em setembro diante do otimismo dos investidores. O movimento de valorização das bolsas repercutiu o início do ciclo de corte dos juros nos Estados Unidos</w:t>
      </w:r>
      <w:r w:rsidR="00913ADA">
        <w:rPr>
          <w:rFonts w:ascii="Arial" w:eastAsia="Arial" w:hAnsi="Arial" w:cs="Arial"/>
          <w:bCs/>
          <w:sz w:val="24"/>
          <w:szCs w:val="24"/>
        </w:rPr>
        <w:t>.</w:t>
      </w:r>
      <w:r w:rsidR="00913ADA" w:rsidRPr="00913ADA">
        <w:t xml:space="preserve"> </w:t>
      </w:r>
      <w:r w:rsidR="00913ADA" w:rsidRPr="00913ADA">
        <w:rPr>
          <w:rFonts w:ascii="Arial" w:eastAsia="Arial" w:hAnsi="Arial" w:cs="Arial"/>
          <w:bCs/>
          <w:sz w:val="24"/>
          <w:szCs w:val="24"/>
        </w:rPr>
        <w:t>O Ibovespa não conseguiu acompanhar a direção internacional. Existe uma assimetria dos riscos para a situação brasileira, o ponto positivo é de que o cenário global vem apresentando uma evolução favorável para os ativos de risco, além da resiliência da economia aumentar as expectativas de maiores lucros das empresas listadas na bolsa. Por outro lado, o ciclo de alta da taxa Selic e ruídos fiscais limitam o fluxo de recursos para a renda variável. A renda fixa obteve rentabilidade negativa devido à alta generalizada da curva de juros. Os vértices curtos subiram devido à perspectiva de uma Selic mais alta, enquanto os mais longos foram afetados pelas incertezas das políticas fiscais em razão da condução equivocada das contas públicas, o que resulta na menor capacidade de estabilizar a dívida pública</w:t>
      </w:r>
      <w:r w:rsidR="00E85C64" w:rsidRPr="00E85C64">
        <w:rPr>
          <w:rFonts w:ascii="Arial" w:eastAsia="Arial" w:hAnsi="Arial" w:cs="Arial"/>
          <w:sz w:val="24"/>
          <w:szCs w:val="24"/>
        </w:rPr>
        <w:t>.</w:t>
      </w:r>
      <w:r w:rsidR="00E85C64">
        <w:rPr>
          <w:rFonts w:ascii="Arial" w:eastAsia="Arial" w:hAnsi="Arial" w:cs="Arial"/>
          <w:sz w:val="24"/>
          <w:szCs w:val="24"/>
        </w:rPr>
        <w:t xml:space="preserve"> </w:t>
      </w:r>
      <w:r w:rsidR="00A710F7">
        <w:rPr>
          <w:rFonts w:ascii="Arial" w:eastAsia="Arial" w:hAnsi="Arial" w:cs="Arial"/>
          <w:b/>
          <w:sz w:val="24"/>
          <w:szCs w:val="24"/>
        </w:rPr>
        <w:t>3</w:t>
      </w:r>
      <w:r w:rsidR="00CE3103" w:rsidRPr="00CE3103">
        <w:rPr>
          <w:rFonts w:ascii="Arial" w:eastAsia="Arial" w:hAnsi="Arial" w:cs="Arial"/>
          <w:b/>
          <w:sz w:val="24"/>
          <w:szCs w:val="24"/>
        </w:rPr>
        <w:t xml:space="preserve">. Apresentação do relatório de investimentos </w:t>
      </w:r>
      <w:r w:rsidR="00141FBB">
        <w:rPr>
          <w:rFonts w:ascii="Arial" w:eastAsia="Arial" w:hAnsi="Arial" w:cs="Arial"/>
          <w:b/>
          <w:sz w:val="24"/>
          <w:szCs w:val="24"/>
        </w:rPr>
        <w:t>Setembro</w:t>
      </w:r>
      <w:r w:rsidR="00CE3103" w:rsidRPr="00CE3103">
        <w:rPr>
          <w:rFonts w:ascii="Arial" w:eastAsia="Arial" w:hAnsi="Arial" w:cs="Arial"/>
          <w:b/>
          <w:sz w:val="24"/>
          <w:szCs w:val="24"/>
        </w:rPr>
        <w:t>/2024</w:t>
      </w:r>
      <w:r w:rsidR="00CE3103" w:rsidRPr="00CE3103">
        <w:rPr>
          <w:rFonts w:ascii="Arial" w:eastAsia="Arial" w:hAnsi="Arial" w:cs="Arial"/>
          <w:sz w:val="24"/>
          <w:szCs w:val="24"/>
        </w:rPr>
        <w:t>;</w:t>
      </w:r>
      <w:r w:rsidR="00CE3103">
        <w:rPr>
          <w:rFonts w:ascii="Arial" w:eastAsia="Arial" w:hAnsi="Arial" w:cs="Arial"/>
          <w:sz w:val="24"/>
          <w:szCs w:val="24"/>
        </w:rPr>
        <w:t xml:space="preserve"> </w:t>
      </w:r>
      <w:r w:rsidR="00913ADA">
        <w:rPr>
          <w:rFonts w:ascii="Arial" w:eastAsia="Arial" w:hAnsi="Arial" w:cs="Arial"/>
          <w:sz w:val="24"/>
          <w:szCs w:val="24"/>
        </w:rPr>
        <w:t xml:space="preserve">Tayse </w:t>
      </w:r>
      <w:r>
        <w:rPr>
          <w:rFonts w:ascii="Arial" w:eastAsia="Arial" w:hAnsi="Arial" w:cs="Arial"/>
          <w:sz w:val="24"/>
          <w:szCs w:val="24"/>
        </w:rPr>
        <w:t>apresentou a</w:t>
      </w:r>
      <w:r w:rsidR="00CE3103" w:rsidRPr="00CE3103">
        <w:rPr>
          <w:rFonts w:ascii="Arial" w:eastAsia="Arial" w:hAnsi="Arial" w:cs="Arial"/>
          <w:sz w:val="24"/>
          <w:szCs w:val="24"/>
        </w:rPr>
        <w:t xml:space="preserve"> </w:t>
      </w:r>
      <w:r>
        <w:rPr>
          <w:rFonts w:ascii="Arial" w:eastAsia="Arial" w:hAnsi="Arial" w:cs="Arial"/>
          <w:sz w:val="24"/>
          <w:szCs w:val="24"/>
        </w:rPr>
        <w:t xml:space="preserve">carteira </w:t>
      </w:r>
      <w:r w:rsidR="00CE3103">
        <w:rPr>
          <w:rFonts w:ascii="Arial" w:eastAsia="Arial" w:hAnsi="Arial" w:cs="Arial"/>
          <w:sz w:val="24"/>
          <w:szCs w:val="24"/>
        </w:rPr>
        <w:t xml:space="preserve">de </w:t>
      </w:r>
      <w:r w:rsidR="00994A5F">
        <w:rPr>
          <w:rFonts w:ascii="Arial" w:eastAsia="Arial" w:hAnsi="Arial" w:cs="Arial"/>
          <w:sz w:val="24"/>
          <w:szCs w:val="24"/>
        </w:rPr>
        <w:t>setembro</w:t>
      </w:r>
      <w:r w:rsidR="00297258">
        <w:rPr>
          <w:rFonts w:ascii="Arial" w:eastAsia="Arial" w:hAnsi="Arial" w:cs="Arial"/>
          <w:sz w:val="24"/>
          <w:szCs w:val="24"/>
        </w:rPr>
        <w:t xml:space="preserve"> </w:t>
      </w:r>
      <w:r w:rsidR="00CE3103">
        <w:rPr>
          <w:rFonts w:ascii="Arial" w:eastAsia="Arial" w:hAnsi="Arial" w:cs="Arial"/>
          <w:sz w:val="24"/>
          <w:szCs w:val="24"/>
        </w:rPr>
        <w:t>de 2024</w:t>
      </w:r>
      <w:r>
        <w:rPr>
          <w:rFonts w:ascii="Arial" w:eastAsia="Arial" w:hAnsi="Arial" w:cs="Arial"/>
          <w:sz w:val="24"/>
          <w:szCs w:val="24"/>
        </w:rPr>
        <w:t xml:space="preserve"> que encerrou tendo sua composição dividida em </w:t>
      </w:r>
      <w:r w:rsidR="00913ADA" w:rsidRPr="00913ADA">
        <w:rPr>
          <w:rFonts w:ascii="Arial" w:eastAsia="Arial" w:hAnsi="Arial" w:cs="Arial"/>
          <w:sz w:val="24"/>
          <w:szCs w:val="24"/>
        </w:rPr>
        <w:t xml:space="preserve">Títulos Públicos 53,12% Fundos de Renda Fixa 23,72% Ativos de </w:t>
      </w:r>
      <w:r w:rsidR="00913ADA" w:rsidRPr="00913ADA">
        <w:rPr>
          <w:rFonts w:ascii="Arial" w:eastAsia="Arial" w:hAnsi="Arial" w:cs="Arial"/>
          <w:sz w:val="24"/>
          <w:szCs w:val="24"/>
        </w:rPr>
        <w:lastRenderedPageBreak/>
        <w:t>Renda Fixa 15,26% Fundos de Renda Variável 6,86% Investimentos no Exterior 0,30% Fundos Multimercado 0,74% Contas Correntes 0,00%</w:t>
      </w:r>
      <w:r w:rsidR="00297258">
        <w:rPr>
          <w:rFonts w:ascii="Arial" w:eastAsia="Arial" w:hAnsi="Arial" w:cs="Arial"/>
          <w:sz w:val="24"/>
          <w:szCs w:val="24"/>
        </w:rPr>
        <w:t xml:space="preserve">. </w:t>
      </w:r>
      <w:r>
        <w:rPr>
          <w:rFonts w:ascii="Arial" w:eastAsia="Arial" w:hAnsi="Arial" w:cs="Arial"/>
          <w:sz w:val="24"/>
          <w:szCs w:val="24"/>
        </w:rPr>
        <w:t xml:space="preserve">Com um saldo de R$ </w:t>
      </w:r>
      <w:r w:rsidR="00913ADA" w:rsidRPr="00913ADA">
        <w:rPr>
          <w:rFonts w:ascii="Arial" w:eastAsia="Arial" w:hAnsi="Arial" w:cs="Arial"/>
          <w:sz w:val="24"/>
          <w:szCs w:val="24"/>
        </w:rPr>
        <w:t xml:space="preserve">71.341.269,60 </w:t>
      </w:r>
      <w:r>
        <w:rPr>
          <w:rFonts w:ascii="Arial" w:eastAsia="Arial" w:hAnsi="Arial" w:cs="Arial"/>
          <w:sz w:val="24"/>
          <w:szCs w:val="24"/>
        </w:rPr>
        <w:t>(</w:t>
      </w:r>
      <w:r w:rsidR="00E85C64">
        <w:rPr>
          <w:rFonts w:ascii="Arial" w:eastAsia="Arial" w:hAnsi="Arial" w:cs="Arial"/>
          <w:sz w:val="24"/>
          <w:szCs w:val="24"/>
        </w:rPr>
        <w:t xml:space="preserve">setenta </w:t>
      </w:r>
      <w:r w:rsidR="00913ADA">
        <w:rPr>
          <w:rFonts w:ascii="Arial" w:eastAsia="Arial" w:hAnsi="Arial" w:cs="Arial"/>
          <w:sz w:val="24"/>
          <w:szCs w:val="24"/>
        </w:rPr>
        <w:t xml:space="preserve">e um </w:t>
      </w:r>
      <w:r w:rsidR="00E85C64">
        <w:rPr>
          <w:rFonts w:ascii="Arial" w:eastAsia="Arial" w:hAnsi="Arial" w:cs="Arial"/>
          <w:sz w:val="24"/>
          <w:szCs w:val="24"/>
        </w:rPr>
        <w:t xml:space="preserve">milhões </w:t>
      </w:r>
      <w:r w:rsidR="00913ADA">
        <w:rPr>
          <w:rFonts w:ascii="Arial" w:eastAsia="Arial" w:hAnsi="Arial" w:cs="Arial"/>
          <w:sz w:val="24"/>
          <w:szCs w:val="24"/>
        </w:rPr>
        <w:t>trezentos e quarenta e um mil duzentos e sessenta e nove reais e sessenta centavos</w:t>
      </w:r>
      <w:r w:rsidR="00297258">
        <w:rPr>
          <w:rFonts w:ascii="Arial" w:eastAsia="Arial" w:hAnsi="Arial" w:cs="Arial"/>
          <w:sz w:val="24"/>
          <w:szCs w:val="24"/>
        </w:rPr>
        <w:t>.</w:t>
      </w:r>
      <w:r>
        <w:rPr>
          <w:rFonts w:ascii="Arial" w:eastAsia="Arial" w:hAnsi="Arial" w:cs="Arial"/>
          <w:sz w:val="24"/>
          <w:szCs w:val="24"/>
        </w:rPr>
        <w:t xml:space="preserve">) com uma rentabilidade </w:t>
      </w:r>
      <w:r w:rsidR="00913ADA">
        <w:rPr>
          <w:rFonts w:ascii="Arial" w:eastAsia="Arial" w:hAnsi="Arial" w:cs="Arial"/>
          <w:sz w:val="24"/>
          <w:szCs w:val="24"/>
        </w:rPr>
        <w:t>abaixo</w:t>
      </w:r>
      <w:r>
        <w:rPr>
          <w:rFonts w:ascii="Arial" w:eastAsia="Arial" w:hAnsi="Arial" w:cs="Arial"/>
          <w:sz w:val="24"/>
          <w:szCs w:val="24"/>
        </w:rPr>
        <w:t xml:space="preserve"> da meta. A meta para o </w:t>
      </w:r>
      <w:r w:rsidR="00DE7F8A">
        <w:rPr>
          <w:rFonts w:ascii="Arial" w:eastAsia="Arial" w:hAnsi="Arial" w:cs="Arial"/>
          <w:sz w:val="24"/>
          <w:szCs w:val="24"/>
        </w:rPr>
        <w:t xml:space="preserve">mês de </w:t>
      </w:r>
      <w:r w:rsidR="00913ADA">
        <w:rPr>
          <w:rFonts w:ascii="Arial" w:eastAsia="Arial" w:hAnsi="Arial" w:cs="Arial"/>
          <w:sz w:val="24"/>
          <w:szCs w:val="24"/>
        </w:rPr>
        <w:t>setembro</w:t>
      </w:r>
      <w:r w:rsidR="00297258">
        <w:rPr>
          <w:rFonts w:ascii="Arial" w:eastAsia="Arial" w:hAnsi="Arial" w:cs="Arial"/>
          <w:sz w:val="24"/>
          <w:szCs w:val="24"/>
        </w:rPr>
        <w:t xml:space="preserve"> </w:t>
      </w:r>
      <w:r w:rsidR="00CE3103">
        <w:rPr>
          <w:rFonts w:ascii="Arial" w:eastAsia="Arial" w:hAnsi="Arial" w:cs="Arial"/>
          <w:sz w:val="24"/>
          <w:szCs w:val="24"/>
        </w:rPr>
        <w:t>de 2024</w:t>
      </w:r>
      <w:r>
        <w:rPr>
          <w:rFonts w:ascii="Arial" w:eastAsia="Arial" w:hAnsi="Arial" w:cs="Arial"/>
          <w:sz w:val="24"/>
          <w:szCs w:val="24"/>
        </w:rPr>
        <w:t xml:space="preserve"> ficou estabelecida em </w:t>
      </w:r>
      <w:r w:rsidR="00AD54EE">
        <w:rPr>
          <w:rFonts w:ascii="Arial" w:eastAsia="Arial" w:hAnsi="Arial" w:cs="Arial"/>
          <w:sz w:val="24"/>
          <w:szCs w:val="24"/>
        </w:rPr>
        <w:t>0,</w:t>
      </w:r>
      <w:r w:rsidR="00913ADA">
        <w:rPr>
          <w:rFonts w:ascii="Arial" w:eastAsia="Arial" w:hAnsi="Arial" w:cs="Arial"/>
          <w:sz w:val="24"/>
          <w:szCs w:val="24"/>
        </w:rPr>
        <w:t>84</w:t>
      </w:r>
      <w:r w:rsidR="00CE3103">
        <w:rPr>
          <w:rFonts w:ascii="Arial" w:eastAsia="Arial" w:hAnsi="Arial" w:cs="Arial"/>
          <w:sz w:val="24"/>
          <w:szCs w:val="24"/>
        </w:rPr>
        <w:t xml:space="preserve"> sendo </w:t>
      </w:r>
      <w:r w:rsidR="00CE3103" w:rsidRPr="00CE3103">
        <w:rPr>
          <w:rFonts w:ascii="Arial" w:eastAsia="Arial" w:hAnsi="Arial" w:cs="Arial"/>
          <w:sz w:val="24"/>
          <w:szCs w:val="24"/>
        </w:rPr>
        <w:t>(IPCA + 4,88% A.A.)</w:t>
      </w:r>
      <w:r>
        <w:rPr>
          <w:rFonts w:ascii="Arial" w:eastAsia="Arial" w:hAnsi="Arial" w:cs="Arial"/>
          <w:sz w:val="24"/>
          <w:szCs w:val="24"/>
        </w:rPr>
        <w:t xml:space="preserve"> e a meta alcançada foi de </w:t>
      </w:r>
      <w:r w:rsidR="00913ADA">
        <w:rPr>
          <w:rFonts w:ascii="Arial" w:eastAsia="Arial" w:hAnsi="Arial" w:cs="Arial"/>
          <w:sz w:val="24"/>
          <w:szCs w:val="24"/>
        </w:rPr>
        <w:t>0,32</w:t>
      </w:r>
      <w:r w:rsidR="00CE3103">
        <w:rPr>
          <w:rFonts w:ascii="Arial" w:eastAsia="Arial" w:hAnsi="Arial" w:cs="Arial"/>
          <w:sz w:val="24"/>
          <w:szCs w:val="24"/>
        </w:rPr>
        <w:t>%</w:t>
      </w:r>
      <w:r>
        <w:rPr>
          <w:rFonts w:ascii="Arial" w:eastAsia="Arial" w:hAnsi="Arial" w:cs="Arial"/>
          <w:sz w:val="24"/>
          <w:szCs w:val="24"/>
        </w:rPr>
        <w:t xml:space="preserve"> obtendo um retorno financeiro positivo no </w:t>
      </w:r>
      <w:r w:rsidR="00CE3103">
        <w:rPr>
          <w:rFonts w:ascii="Arial" w:eastAsia="Arial" w:hAnsi="Arial" w:cs="Arial"/>
          <w:sz w:val="24"/>
          <w:szCs w:val="24"/>
        </w:rPr>
        <w:t xml:space="preserve">mês </w:t>
      </w:r>
      <w:r>
        <w:rPr>
          <w:rFonts w:ascii="Arial" w:eastAsia="Arial" w:hAnsi="Arial" w:cs="Arial"/>
          <w:sz w:val="24"/>
          <w:szCs w:val="24"/>
        </w:rPr>
        <w:t xml:space="preserve">de R$ </w:t>
      </w:r>
      <w:r w:rsidR="00913ADA" w:rsidRPr="00913ADA">
        <w:rPr>
          <w:rFonts w:ascii="Arial" w:eastAsia="Arial" w:hAnsi="Arial" w:cs="Arial"/>
          <w:sz w:val="24"/>
          <w:szCs w:val="24"/>
        </w:rPr>
        <w:t xml:space="preserve">230.342,35 </w:t>
      </w:r>
      <w:r w:rsidR="004C31D0">
        <w:rPr>
          <w:rFonts w:ascii="Arial" w:eastAsia="Arial" w:hAnsi="Arial" w:cs="Arial"/>
          <w:sz w:val="24"/>
          <w:szCs w:val="24"/>
        </w:rPr>
        <w:t>(</w:t>
      </w:r>
      <w:r w:rsidR="00913ADA">
        <w:rPr>
          <w:rFonts w:ascii="Arial" w:eastAsia="Arial" w:hAnsi="Arial" w:cs="Arial"/>
          <w:sz w:val="24"/>
          <w:szCs w:val="24"/>
        </w:rPr>
        <w:t>duzentos e trinta mil trezentos e quarenta e dois reais e trinta e cinco centavos.</w:t>
      </w:r>
      <w:r>
        <w:rPr>
          <w:rFonts w:ascii="Arial" w:eastAsia="Arial" w:hAnsi="Arial" w:cs="Arial"/>
          <w:sz w:val="24"/>
          <w:szCs w:val="24"/>
        </w:rPr>
        <w:t>)</w:t>
      </w:r>
      <w:r w:rsidR="00117497">
        <w:rPr>
          <w:rFonts w:ascii="Arial" w:eastAsia="Arial" w:hAnsi="Arial" w:cs="Arial"/>
          <w:sz w:val="24"/>
          <w:szCs w:val="24"/>
        </w:rPr>
        <w:t xml:space="preserve">. </w:t>
      </w:r>
      <w:r w:rsidR="00913ADA">
        <w:rPr>
          <w:rFonts w:ascii="Arial" w:eastAsia="Arial" w:hAnsi="Arial" w:cs="Arial"/>
          <w:sz w:val="24"/>
          <w:szCs w:val="24"/>
        </w:rPr>
        <w:t>Tayse comenta que as taxas de NTN’B seguem agando acima de 6% para vencimentos longos o que é muito atrativo para aportes do TAIÓPREV</w:t>
      </w:r>
      <w:r w:rsidR="00C54200">
        <w:rPr>
          <w:rFonts w:ascii="Arial" w:eastAsia="Arial" w:hAnsi="Arial" w:cs="Arial"/>
          <w:sz w:val="24"/>
          <w:szCs w:val="24"/>
        </w:rPr>
        <w:t xml:space="preserve">. </w:t>
      </w:r>
      <w:r w:rsidR="00A31D4C">
        <w:rPr>
          <w:rFonts w:ascii="Arial" w:eastAsia="Arial" w:hAnsi="Arial" w:cs="Arial"/>
          <w:b/>
          <w:bCs/>
          <w:sz w:val="24"/>
          <w:szCs w:val="24"/>
        </w:rPr>
        <w:t>4</w:t>
      </w:r>
      <w:r w:rsidR="00680515" w:rsidRPr="00680515">
        <w:rPr>
          <w:rFonts w:ascii="Arial" w:eastAsia="Arial" w:hAnsi="Arial" w:cs="Arial"/>
          <w:b/>
          <w:bCs/>
          <w:sz w:val="24"/>
          <w:szCs w:val="24"/>
        </w:rPr>
        <w:t>. An</w:t>
      </w:r>
      <w:r w:rsidR="00B06639">
        <w:rPr>
          <w:rFonts w:ascii="Arial" w:eastAsia="Arial" w:hAnsi="Arial" w:cs="Arial"/>
          <w:b/>
          <w:bCs/>
          <w:sz w:val="24"/>
          <w:szCs w:val="24"/>
        </w:rPr>
        <w:t>á</w:t>
      </w:r>
      <w:r w:rsidR="00680515" w:rsidRPr="00680515">
        <w:rPr>
          <w:rFonts w:ascii="Arial" w:eastAsia="Arial" w:hAnsi="Arial" w:cs="Arial"/>
          <w:b/>
          <w:bCs/>
          <w:sz w:val="24"/>
          <w:szCs w:val="24"/>
        </w:rPr>
        <w:t>lise da evolução e execução do orçamento do RPPS e análise dos dados atualizados dos fluxos de caixa e dos investimentos no curto e longo prazo.</w:t>
      </w:r>
      <w:r w:rsidR="00680515">
        <w:rPr>
          <w:rFonts w:ascii="Arial" w:eastAsia="Arial" w:hAnsi="Arial" w:cs="Arial"/>
          <w:b/>
          <w:bCs/>
          <w:sz w:val="24"/>
          <w:szCs w:val="24"/>
        </w:rPr>
        <w:t xml:space="preserve"> </w:t>
      </w:r>
      <w:r w:rsidR="00680515" w:rsidRPr="00680515">
        <w:rPr>
          <w:rFonts w:ascii="Arial" w:eastAsia="Arial" w:hAnsi="Arial" w:cs="Arial"/>
          <w:sz w:val="24"/>
          <w:szCs w:val="24"/>
        </w:rPr>
        <w:t>Tayse</w:t>
      </w:r>
      <w:r w:rsidR="00680515">
        <w:rPr>
          <w:rFonts w:ascii="Arial" w:eastAsia="Arial" w:hAnsi="Arial" w:cs="Arial"/>
          <w:sz w:val="24"/>
          <w:szCs w:val="24"/>
        </w:rPr>
        <w:t xml:space="preserve"> apresentou o relatório desenvolvido pela contadora aonde con</w:t>
      </w:r>
      <w:r w:rsidR="009D65CF">
        <w:rPr>
          <w:rFonts w:ascii="Arial" w:eastAsia="Arial" w:hAnsi="Arial" w:cs="Arial"/>
          <w:sz w:val="24"/>
          <w:szCs w:val="24"/>
        </w:rPr>
        <w:t>s</w:t>
      </w:r>
      <w:r w:rsidR="00680515">
        <w:rPr>
          <w:rFonts w:ascii="Arial" w:eastAsia="Arial" w:hAnsi="Arial" w:cs="Arial"/>
          <w:sz w:val="24"/>
          <w:szCs w:val="24"/>
        </w:rPr>
        <w:t xml:space="preserve">ta o total das receitas arrecadas no mês junto com o total das despesas pagas no mês, separadas por contribuição previdenciárias, aportes e rendimentos dos investimentos. Após </w:t>
      </w:r>
      <w:r w:rsidR="00B06639">
        <w:rPr>
          <w:rFonts w:ascii="Arial" w:eastAsia="Arial" w:hAnsi="Arial" w:cs="Arial"/>
          <w:sz w:val="24"/>
          <w:szCs w:val="24"/>
        </w:rPr>
        <w:t>a</w:t>
      </w:r>
      <w:r w:rsidR="00680515" w:rsidRPr="00680515">
        <w:rPr>
          <w:rFonts w:ascii="Arial" w:eastAsia="Arial" w:hAnsi="Arial" w:cs="Arial"/>
          <w:sz w:val="24"/>
          <w:szCs w:val="24"/>
        </w:rPr>
        <w:t>nalisa</w:t>
      </w:r>
      <w:r w:rsidR="00680515">
        <w:rPr>
          <w:rFonts w:ascii="Arial" w:eastAsia="Arial" w:hAnsi="Arial" w:cs="Arial"/>
          <w:sz w:val="24"/>
          <w:szCs w:val="24"/>
        </w:rPr>
        <w:t>do</w:t>
      </w:r>
      <w:r w:rsidR="00680515" w:rsidRPr="00680515">
        <w:rPr>
          <w:rFonts w:ascii="Arial" w:eastAsia="Arial" w:hAnsi="Arial" w:cs="Arial"/>
          <w:sz w:val="24"/>
          <w:szCs w:val="24"/>
        </w:rPr>
        <w:t xml:space="preserve"> os números reportados pela</w:t>
      </w:r>
      <w:r w:rsidR="00680515">
        <w:rPr>
          <w:rFonts w:ascii="Arial" w:eastAsia="Arial" w:hAnsi="Arial" w:cs="Arial"/>
          <w:sz w:val="24"/>
          <w:szCs w:val="24"/>
        </w:rPr>
        <w:t xml:space="preserve"> </w:t>
      </w:r>
      <w:r w:rsidR="00680515" w:rsidRPr="00680515">
        <w:rPr>
          <w:rFonts w:ascii="Arial" w:eastAsia="Arial" w:hAnsi="Arial" w:cs="Arial"/>
          <w:sz w:val="24"/>
          <w:szCs w:val="24"/>
        </w:rPr>
        <w:t xml:space="preserve">contabilidade do Instituto de Previdência de </w:t>
      </w:r>
      <w:r w:rsidR="00680515">
        <w:rPr>
          <w:rFonts w:ascii="Arial" w:eastAsia="Arial" w:hAnsi="Arial" w:cs="Arial"/>
          <w:sz w:val="24"/>
          <w:szCs w:val="24"/>
        </w:rPr>
        <w:t>Taió</w:t>
      </w:r>
      <w:r w:rsidR="00680515" w:rsidRPr="00680515">
        <w:rPr>
          <w:rFonts w:ascii="Arial" w:eastAsia="Arial" w:hAnsi="Arial" w:cs="Arial"/>
          <w:sz w:val="24"/>
          <w:szCs w:val="24"/>
        </w:rPr>
        <w:t xml:space="preserve">, </w:t>
      </w:r>
      <w:r w:rsidR="00680515">
        <w:rPr>
          <w:rFonts w:ascii="Arial" w:eastAsia="Arial" w:hAnsi="Arial" w:cs="Arial"/>
          <w:sz w:val="24"/>
          <w:szCs w:val="24"/>
        </w:rPr>
        <w:t xml:space="preserve">o comitê </w:t>
      </w:r>
      <w:r w:rsidR="00680515" w:rsidRPr="00680515">
        <w:rPr>
          <w:rFonts w:ascii="Arial" w:eastAsia="Arial" w:hAnsi="Arial" w:cs="Arial"/>
          <w:sz w:val="24"/>
          <w:szCs w:val="24"/>
        </w:rPr>
        <w:t xml:space="preserve">está acompanhando </w:t>
      </w:r>
      <w:r w:rsidR="00680515">
        <w:rPr>
          <w:rFonts w:ascii="Arial" w:eastAsia="Arial" w:hAnsi="Arial" w:cs="Arial"/>
          <w:sz w:val="24"/>
          <w:szCs w:val="24"/>
        </w:rPr>
        <w:t xml:space="preserve">a </w:t>
      </w:r>
      <w:r w:rsidR="00680515" w:rsidRPr="00680515">
        <w:rPr>
          <w:rFonts w:ascii="Arial" w:eastAsia="Arial" w:hAnsi="Arial" w:cs="Arial"/>
          <w:sz w:val="24"/>
          <w:szCs w:val="24"/>
        </w:rPr>
        <w:t>evolução orçamentária, não realizando nenhuma objeção aos valores, haja vista,</w:t>
      </w:r>
      <w:r w:rsidR="00680515">
        <w:rPr>
          <w:rFonts w:ascii="Arial" w:eastAsia="Arial" w:hAnsi="Arial" w:cs="Arial"/>
          <w:sz w:val="24"/>
          <w:szCs w:val="24"/>
        </w:rPr>
        <w:t xml:space="preserve"> </w:t>
      </w:r>
      <w:r w:rsidR="00680515" w:rsidRPr="00680515">
        <w:rPr>
          <w:rFonts w:ascii="Arial" w:eastAsia="Arial" w:hAnsi="Arial" w:cs="Arial"/>
          <w:sz w:val="24"/>
          <w:szCs w:val="24"/>
        </w:rPr>
        <w:t>estarem dentro da estimativa orçamentária prevista entre receitas e despesas.</w:t>
      </w:r>
      <w:r w:rsidR="009D65CF" w:rsidRPr="009D65CF">
        <w:rPr>
          <w:rFonts w:ascii="Arial" w:eastAsia="Arial" w:hAnsi="Arial" w:cs="Arial"/>
          <w:sz w:val="24"/>
          <w:szCs w:val="24"/>
        </w:rPr>
        <w:t xml:space="preserve"> No tocante ao resultado o relatório referente à rentabilidade dos investimentos</w:t>
      </w:r>
      <w:r w:rsidR="009D65CF">
        <w:rPr>
          <w:rFonts w:ascii="Arial" w:eastAsia="Arial" w:hAnsi="Arial" w:cs="Arial"/>
          <w:sz w:val="24"/>
          <w:szCs w:val="24"/>
        </w:rPr>
        <w:t xml:space="preserve"> </w:t>
      </w:r>
      <w:r w:rsidR="009D65CF" w:rsidRPr="009D65CF">
        <w:rPr>
          <w:rFonts w:ascii="Arial" w:eastAsia="Arial" w:hAnsi="Arial" w:cs="Arial"/>
          <w:sz w:val="24"/>
          <w:szCs w:val="24"/>
        </w:rPr>
        <w:t>do Instituto de Previdência apresentou um total geral de recursos até a data de</w:t>
      </w:r>
      <w:r w:rsidR="009D65CF">
        <w:rPr>
          <w:rFonts w:ascii="Arial" w:eastAsia="Arial" w:hAnsi="Arial" w:cs="Arial"/>
          <w:sz w:val="24"/>
          <w:szCs w:val="24"/>
        </w:rPr>
        <w:t xml:space="preserve"> </w:t>
      </w:r>
      <w:r w:rsidR="00297258">
        <w:rPr>
          <w:rFonts w:ascii="Arial" w:eastAsia="Arial" w:hAnsi="Arial" w:cs="Arial"/>
          <w:sz w:val="24"/>
          <w:szCs w:val="24"/>
        </w:rPr>
        <w:t>3</w:t>
      </w:r>
      <w:r w:rsidR="00C54200">
        <w:rPr>
          <w:rFonts w:ascii="Arial" w:eastAsia="Arial" w:hAnsi="Arial" w:cs="Arial"/>
          <w:sz w:val="24"/>
          <w:szCs w:val="24"/>
        </w:rPr>
        <w:t>0</w:t>
      </w:r>
      <w:r w:rsidR="006A35AF">
        <w:rPr>
          <w:rFonts w:ascii="Arial" w:eastAsia="Arial" w:hAnsi="Arial" w:cs="Arial"/>
          <w:sz w:val="24"/>
          <w:szCs w:val="24"/>
        </w:rPr>
        <w:t xml:space="preserve"> </w:t>
      </w:r>
      <w:r w:rsidR="00297258">
        <w:rPr>
          <w:rFonts w:ascii="Arial" w:eastAsia="Arial" w:hAnsi="Arial" w:cs="Arial"/>
          <w:sz w:val="24"/>
          <w:szCs w:val="24"/>
        </w:rPr>
        <w:t xml:space="preserve">de </w:t>
      </w:r>
      <w:r w:rsidR="00C54200">
        <w:rPr>
          <w:rFonts w:ascii="Arial" w:eastAsia="Arial" w:hAnsi="Arial" w:cs="Arial"/>
          <w:sz w:val="24"/>
          <w:szCs w:val="24"/>
        </w:rPr>
        <w:t xml:space="preserve">setembro </w:t>
      </w:r>
      <w:r w:rsidR="009D65CF" w:rsidRPr="009D65CF">
        <w:rPr>
          <w:rFonts w:ascii="Arial" w:eastAsia="Arial" w:hAnsi="Arial" w:cs="Arial"/>
          <w:sz w:val="24"/>
          <w:szCs w:val="24"/>
        </w:rPr>
        <w:t xml:space="preserve">de 2024 de </w:t>
      </w:r>
      <w:r w:rsidR="00885091" w:rsidRPr="00885091">
        <w:rPr>
          <w:rFonts w:ascii="Arial" w:eastAsia="Arial" w:hAnsi="Arial" w:cs="Arial"/>
          <w:sz w:val="24"/>
          <w:szCs w:val="24"/>
        </w:rPr>
        <w:t xml:space="preserve">R$ </w:t>
      </w:r>
      <w:r w:rsidR="00C54200" w:rsidRPr="00C54200">
        <w:rPr>
          <w:rFonts w:ascii="Arial" w:eastAsia="Arial" w:hAnsi="Arial" w:cs="Arial"/>
          <w:sz w:val="24"/>
          <w:szCs w:val="24"/>
        </w:rPr>
        <w:t xml:space="preserve">71.341.269,60 </w:t>
      </w:r>
      <w:r w:rsidR="00461545">
        <w:rPr>
          <w:rFonts w:ascii="Arial" w:eastAsia="Arial" w:hAnsi="Arial" w:cs="Arial"/>
          <w:sz w:val="24"/>
          <w:szCs w:val="24"/>
        </w:rPr>
        <w:t xml:space="preserve">(setenta </w:t>
      </w:r>
      <w:r w:rsidR="00C54200">
        <w:rPr>
          <w:rFonts w:ascii="Arial" w:eastAsia="Arial" w:hAnsi="Arial" w:cs="Arial"/>
          <w:sz w:val="24"/>
          <w:szCs w:val="24"/>
        </w:rPr>
        <w:t xml:space="preserve">e um </w:t>
      </w:r>
      <w:r w:rsidR="00461545">
        <w:rPr>
          <w:rFonts w:ascii="Arial" w:eastAsia="Arial" w:hAnsi="Arial" w:cs="Arial"/>
          <w:sz w:val="24"/>
          <w:szCs w:val="24"/>
        </w:rPr>
        <w:t xml:space="preserve">milhões </w:t>
      </w:r>
      <w:r w:rsidR="00C54200">
        <w:rPr>
          <w:rFonts w:ascii="Arial" w:eastAsia="Arial" w:hAnsi="Arial" w:cs="Arial"/>
          <w:sz w:val="24"/>
          <w:szCs w:val="24"/>
        </w:rPr>
        <w:t>trezentos e quarenta e um mil duzentos e sessenta e nove reais e sessenta centavos</w:t>
      </w:r>
      <w:r w:rsidR="00461545">
        <w:rPr>
          <w:rFonts w:ascii="Arial" w:eastAsia="Arial" w:hAnsi="Arial" w:cs="Arial"/>
          <w:sz w:val="24"/>
          <w:szCs w:val="24"/>
        </w:rPr>
        <w:t xml:space="preserve">) </w:t>
      </w:r>
      <w:r w:rsidR="009D65CF" w:rsidRPr="009D65CF">
        <w:rPr>
          <w:rFonts w:ascii="Arial" w:eastAsia="Arial" w:hAnsi="Arial" w:cs="Arial"/>
          <w:sz w:val="24"/>
          <w:szCs w:val="24"/>
        </w:rPr>
        <w:t xml:space="preserve"> que</w:t>
      </w:r>
      <w:r w:rsidR="009D65CF">
        <w:rPr>
          <w:rFonts w:ascii="Arial" w:eastAsia="Arial" w:hAnsi="Arial" w:cs="Arial"/>
          <w:sz w:val="24"/>
          <w:szCs w:val="24"/>
        </w:rPr>
        <w:t xml:space="preserve"> </w:t>
      </w:r>
      <w:r w:rsidR="009D65CF" w:rsidRPr="009D65CF">
        <w:rPr>
          <w:rFonts w:ascii="Arial" w:eastAsia="Arial" w:hAnsi="Arial" w:cs="Arial"/>
          <w:sz w:val="24"/>
          <w:szCs w:val="24"/>
        </w:rPr>
        <w:t>estão alocados em: Contas</w:t>
      </w:r>
      <w:r w:rsidR="009D65CF">
        <w:rPr>
          <w:rFonts w:ascii="Arial" w:eastAsia="Arial" w:hAnsi="Arial" w:cs="Arial"/>
          <w:sz w:val="24"/>
          <w:szCs w:val="24"/>
        </w:rPr>
        <w:t xml:space="preserve"> </w:t>
      </w:r>
      <w:r w:rsidR="009D65CF" w:rsidRPr="009D65CF">
        <w:rPr>
          <w:rFonts w:ascii="Arial" w:eastAsia="Arial" w:hAnsi="Arial" w:cs="Arial"/>
          <w:sz w:val="24"/>
          <w:szCs w:val="24"/>
        </w:rPr>
        <w:t xml:space="preserve">Correntes R$ </w:t>
      </w:r>
      <w:r w:rsidR="00C54200" w:rsidRPr="00C54200">
        <w:rPr>
          <w:rFonts w:ascii="Arial" w:eastAsia="Arial" w:hAnsi="Arial" w:cs="Arial"/>
          <w:sz w:val="24"/>
          <w:szCs w:val="24"/>
        </w:rPr>
        <w:t>2.857,93</w:t>
      </w:r>
      <w:r w:rsidR="009D65CF" w:rsidRPr="009D65CF">
        <w:rPr>
          <w:rFonts w:ascii="Arial" w:eastAsia="Arial" w:hAnsi="Arial" w:cs="Arial"/>
          <w:sz w:val="24"/>
          <w:szCs w:val="24"/>
        </w:rPr>
        <w:t xml:space="preserve">; Títulos Públicos R$ </w:t>
      </w:r>
      <w:r w:rsidR="00C54200" w:rsidRPr="00C54200">
        <w:rPr>
          <w:rFonts w:ascii="Arial" w:eastAsia="Arial" w:hAnsi="Arial" w:cs="Arial"/>
          <w:sz w:val="24"/>
          <w:szCs w:val="24"/>
        </w:rPr>
        <w:t>37.893.884,40</w:t>
      </w:r>
      <w:r w:rsidR="009D65CF" w:rsidRPr="009D65CF">
        <w:rPr>
          <w:rFonts w:ascii="Arial" w:eastAsia="Arial" w:hAnsi="Arial" w:cs="Arial"/>
          <w:sz w:val="24"/>
          <w:szCs w:val="24"/>
        </w:rPr>
        <w:t>; Ativos de Renda</w:t>
      </w:r>
      <w:r w:rsidR="009D65CF">
        <w:rPr>
          <w:rFonts w:ascii="Arial" w:eastAsia="Arial" w:hAnsi="Arial" w:cs="Arial"/>
          <w:sz w:val="24"/>
          <w:szCs w:val="24"/>
        </w:rPr>
        <w:t xml:space="preserve"> </w:t>
      </w:r>
      <w:r w:rsidR="009D65CF" w:rsidRPr="009D65CF">
        <w:rPr>
          <w:rFonts w:ascii="Arial" w:eastAsia="Arial" w:hAnsi="Arial" w:cs="Arial"/>
          <w:sz w:val="24"/>
          <w:szCs w:val="24"/>
        </w:rPr>
        <w:t xml:space="preserve">Fixa R$ </w:t>
      </w:r>
      <w:r w:rsidR="00C54200" w:rsidRPr="00C54200">
        <w:rPr>
          <w:rFonts w:ascii="Arial" w:eastAsia="Arial" w:hAnsi="Arial" w:cs="Arial"/>
          <w:sz w:val="24"/>
          <w:szCs w:val="24"/>
        </w:rPr>
        <w:t>10.887.431,27</w:t>
      </w:r>
      <w:r w:rsidR="009D65CF" w:rsidRPr="009D65CF">
        <w:rPr>
          <w:rFonts w:ascii="Arial" w:eastAsia="Arial" w:hAnsi="Arial" w:cs="Arial"/>
          <w:sz w:val="24"/>
          <w:szCs w:val="24"/>
        </w:rPr>
        <w:t xml:space="preserve">; Fundos de Renda Fixa R$ </w:t>
      </w:r>
      <w:r w:rsidR="00C54200" w:rsidRPr="00C54200">
        <w:rPr>
          <w:rFonts w:ascii="Arial" w:eastAsia="Arial" w:hAnsi="Arial" w:cs="Arial"/>
          <w:sz w:val="24"/>
          <w:szCs w:val="24"/>
        </w:rPr>
        <w:t>16.923.719,44</w:t>
      </w:r>
      <w:r w:rsidR="009D65CF" w:rsidRPr="009D65CF">
        <w:rPr>
          <w:rFonts w:ascii="Arial" w:eastAsia="Arial" w:hAnsi="Arial" w:cs="Arial"/>
          <w:sz w:val="24"/>
          <w:szCs w:val="24"/>
        </w:rPr>
        <w:t>; Fundos de</w:t>
      </w:r>
      <w:r w:rsidR="009D65CF">
        <w:rPr>
          <w:rFonts w:ascii="Arial" w:eastAsia="Arial" w:hAnsi="Arial" w:cs="Arial"/>
          <w:sz w:val="24"/>
          <w:szCs w:val="24"/>
        </w:rPr>
        <w:t xml:space="preserve"> </w:t>
      </w:r>
      <w:r w:rsidR="009D65CF" w:rsidRPr="009D65CF">
        <w:rPr>
          <w:rFonts w:ascii="Arial" w:eastAsia="Arial" w:hAnsi="Arial" w:cs="Arial"/>
          <w:sz w:val="24"/>
          <w:szCs w:val="24"/>
        </w:rPr>
        <w:t xml:space="preserve">Renda Variável R$ </w:t>
      </w:r>
      <w:r w:rsidR="00C54200" w:rsidRPr="00C54200">
        <w:rPr>
          <w:rFonts w:ascii="Arial" w:eastAsia="Arial" w:hAnsi="Arial" w:cs="Arial"/>
          <w:sz w:val="24"/>
          <w:szCs w:val="24"/>
        </w:rPr>
        <w:t>4.891.645,32</w:t>
      </w:r>
      <w:r w:rsidR="009D65CF" w:rsidRPr="009D65CF">
        <w:rPr>
          <w:rFonts w:ascii="Arial" w:eastAsia="Arial" w:hAnsi="Arial" w:cs="Arial"/>
          <w:sz w:val="24"/>
          <w:szCs w:val="24"/>
        </w:rPr>
        <w:t xml:space="preserve">; Fundos Multimercados R$ </w:t>
      </w:r>
      <w:r w:rsidR="00C54200" w:rsidRPr="00C54200">
        <w:rPr>
          <w:rFonts w:ascii="Arial" w:eastAsia="Arial" w:hAnsi="Arial" w:cs="Arial"/>
          <w:sz w:val="24"/>
          <w:szCs w:val="24"/>
        </w:rPr>
        <w:t>529.332,68</w:t>
      </w:r>
      <w:r w:rsidR="009D65CF" w:rsidRPr="009D65CF">
        <w:rPr>
          <w:rFonts w:ascii="Arial" w:eastAsia="Arial" w:hAnsi="Arial" w:cs="Arial"/>
          <w:sz w:val="24"/>
          <w:szCs w:val="24"/>
        </w:rPr>
        <w:t>;</w:t>
      </w:r>
      <w:r w:rsidR="009D65CF">
        <w:rPr>
          <w:rFonts w:ascii="Arial" w:eastAsia="Arial" w:hAnsi="Arial" w:cs="Arial"/>
          <w:sz w:val="24"/>
          <w:szCs w:val="24"/>
        </w:rPr>
        <w:t xml:space="preserve"> </w:t>
      </w:r>
      <w:r w:rsidR="009D65CF" w:rsidRPr="009D65CF">
        <w:rPr>
          <w:rFonts w:ascii="Arial" w:eastAsia="Arial" w:hAnsi="Arial" w:cs="Arial"/>
          <w:sz w:val="24"/>
          <w:szCs w:val="24"/>
        </w:rPr>
        <w:t xml:space="preserve">Fundos Investimento no Exterior R$ </w:t>
      </w:r>
      <w:r w:rsidR="00C54200" w:rsidRPr="00C54200">
        <w:rPr>
          <w:rFonts w:ascii="Arial" w:eastAsia="Arial" w:hAnsi="Arial" w:cs="Arial"/>
          <w:sz w:val="24"/>
          <w:szCs w:val="24"/>
        </w:rPr>
        <w:t>212.398,56</w:t>
      </w:r>
      <w:r w:rsidR="009D65CF">
        <w:rPr>
          <w:rFonts w:ascii="Arial" w:eastAsia="Arial" w:hAnsi="Arial" w:cs="Arial"/>
          <w:sz w:val="24"/>
          <w:szCs w:val="24"/>
        </w:rPr>
        <w:t xml:space="preserve">. </w:t>
      </w:r>
      <w:r w:rsidR="001F7645">
        <w:rPr>
          <w:rFonts w:ascii="Arial" w:eastAsia="Arial" w:hAnsi="Arial" w:cs="Arial"/>
          <w:sz w:val="24"/>
          <w:szCs w:val="24"/>
        </w:rPr>
        <w:t>Os valores alocados em títulos públicos do TAIÓPREV estão divididos em vencimentos longos sendo para 2040,</w:t>
      </w:r>
      <w:r w:rsidR="00B06639">
        <w:rPr>
          <w:rFonts w:ascii="Arial" w:eastAsia="Arial" w:hAnsi="Arial" w:cs="Arial"/>
          <w:sz w:val="24"/>
          <w:szCs w:val="24"/>
        </w:rPr>
        <w:t xml:space="preserve"> </w:t>
      </w:r>
      <w:r w:rsidR="001F7645">
        <w:rPr>
          <w:rFonts w:ascii="Arial" w:eastAsia="Arial" w:hAnsi="Arial" w:cs="Arial"/>
          <w:sz w:val="24"/>
          <w:szCs w:val="24"/>
        </w:rPr>
        <w:t>2045 e 2050 de acordo com a necessidade do passivo e estratégias de investimentos do comitê.</w:t>
      </w:r>
      <w:r w:rsidR="009D65CF" w:rsidRPr="009D65CF">
        <w:rPr>
          <w:rFonts w:ascii="Arial" w:eastAsia="Arial" w:hAnsi="Arial" w:cs="Arial"/>
          <w:b/>
          <w:bCs/>
          <w:sz w:val="24"/>
          <w:szCs w:val="24"/>
        </w:rPr>
        <w:t xml:space="preserve"> </w:t>
      </w:r>
      <w:r w:rsidR="00F14922">
        <w:rPr>
          <w:rFonts w:ascii="Arial" w:eastAsia="Arial" w:hAnsi="Arial" w:cs="Arial"/>
          <w:b/>
          <w:bCs/>
          <w:sz w:val="24"/>
          <w:szCs w:val="24"/>
        </w:rPr>
        <w:t>5</w:t>
      </w:r>
      <w:r w:rsidR="009D65CF" w:rsidRPr="009D65CF">
        <w:rPr>
          <w:rFonts w:ascii="Arial" w:eastAsia="Arial" w:hAnsi="Arial" w:cs="Arial"/>
          <w:b/>
          <w:bCs/>
          <w:sz w:val="24"/>
          <w:szCs w:val="24"/>
        </w:rPr>
        <w:t>. Estudo de propostas de investimentos considerando – risco de crédito, de mercado, de liquidez e operacional</w:t>
      </w:r>
      <w:r w:rsidR="009D65CF">
        <w:rPr>
          <w:rFonts w:ascii="Arial" w:eastAsia="Arial" w:hAnsi="Arial" w:cs="Arial"/>
          <w:b/>
          <w:bCs/>
          <w:sz w:val="24"/>
          <w:szCs w:val="24"/>
        </w:rPr>
        <w:t xml:space="preserve">. </w:t>
      </w:r>
      <w:r w:rsidR="001569EF" w:rsidRPr="001569EF">
        <w:rPr>
          <w:rFonts w:ascii="Arial" w:eastAsia="Arial" w:hAnsi="Arial" w:cs="Arial"/>
          <w:sz w:val="24"/>
          <w:szCs w:val="24"/>
        </w:rPr>
        <w:t>Tayse</w:t>
      </w:r>
      <w:r w:rsidR="001569EF">
        <w:rPr>
          <w:rFonts w:ascii="Arial" w:eastAsia="Arial" w:hAnsi="Arial" w:cs="Arial"/>
          <w:b/>
          <w:bCs/>
          <w:sz w:val="24"/>
          <w:szCs w:val="24"/>
        </w:rPr>
        <w:t xml:space="preserve"> </w:t>
      </w:r>
      <w:r w:rsidR="00C54200">
        <w:rPr>
          <w:rFonts w:ascii="Arial" w:eastAsia="Arial" w:hAnsi="Arial" w:cs="Arial"/>
          <w:sz w:val="24"/>
          <w:szCs w:val="24"/>
        </w:rPr>
        <w:t>abre o site da AMBIMA na página das taxas de juros de NTN’B e apresenta aos membros que as taxas no dia 22/10</w:t>
      </w:r>
      <w:r w:rsidR="00EE4287">
        <w:rPr>
          <w:rFonts w:ascii="Arial" w:eastAsia="Arial" w:hAnsi="Arial" w:cs="Arial"/>
          <w:sz w:val="24"/>
          <w:szCs w:val="24"/>
        </w:rPr>
        <w:t xml:space="preserve"> nos anos de vencimento longo</w:t>
      </w:r>
      <w:r w:rsidR="00C54200">
        <w:rPr>
          <w:rFonts w:ascii="Arial" w:eastAsia="Arial" w:hAnsi="Arial" w:cs="Arial"/>
          <w:sz w:val="24"/>
          <w:szCs w:val="24"/>
        </w:rPr>
        <w:t xml:space="preserve"> fechou em 6,60%</w:t>
      </w:r>
      <w:r w:rsidR="00EE4287">
        <w:rPr>
          <w:rFonts w:ascii="Arial" w:eastAsia="Arial" w:hAnsi="Arial" w:cs="Arial"/>
          <w:sz w:val="24"/>
          <w:szCs w:val="24"/>
        </w:rPr>
        <w:t xml:space="preserve"> aproximadamente,</w:t>
      </w:r>
      <w:r w:rsidR="00C54200">
        <w:rPr>
          <w:rFonts w:ascii="Arial" w:eastAsia="Arial" w:hAnsi="Arial" w:cs="Arial"/>
          <w:sz w:val="24"/>
          <w:szCs w:val="24"/>
        </w:rPr>
        <w:t xml:space="preserve"> sendo muito atrativo para investimentos</w:t>
      </w:r>
      <w:r w:rsidR="00EE4287">
        <w:rPr>
          <w:rFonts w:ascii="Arial" w:eastAsia="Arial" w:hAnsi="Arial" w:cs="Arial"/>
          <w:sz w:val="24"/>
          <w:szCs w:val="24"/>
        </w:rPr>
        <w:t>, ainda mais considerando que não tem taxa de administração, taxa de performance, ou outro risco, não sendo o de liquidez, mas considerando o ALM e a duration do passivo do TAIÓPREV ainda tem espaço para aquisição em NTNB longas.</w:t>
      </w:r>
      <w:r w:rsidR="00C54200">
        <w:rPr>
          <w:rFonts w:ascii="Arial" w:eastAsia="Arial" w:hAnsi="Arial" w:cs="Arial"/>
          <w:sz w:val="24"/>
          <w:szCs w:val="24"/>
        </w:rPr>
        <w:t xml:space="preserve">  </w:t>
      </w:r>
      <w:r w:rsidR="00BD5933" w:rsidRPr="00BD5933">
        <w:rPr>
          <w:rFonts w:ascii="Arial" w:eastAsia="Arial" w:hAnsi="Arial" w:cs="Arial"/>
          <w:b/>
          <w:bCs/>
          <w:sz w:val="24"/>
          <w:szCs w:val="24"/>
        </w:rPr>
        <w:t xml:space="preserve">6. Avaliação </w:t>
      </w:r>
      <w:r w:rsidR="00BD5933" w:rsidRPr="00BD5933">
        <w:rPr>
          <w:rFonts w:ascii="Arial" w:eastAsia="Arial" w:hAnsi="Arial" w:cs="Arial"/>
          <w:b/>
          <w:bCs/>
          <w:sz w:val="24"/>
          <w:szCs w:val="24"/>
        </w:rPr>
        <w:lastRenderedPageBreak/>
        <w:t>de Fundos para destinação de aporte</w:t>
      </w:r>
      <w:r w:rsidR="00560B20">
        <w:rPr>
          <w:rFonts w:ascii="Arial" w:eastAsia="Arial" w:hAnsi="Arial" w:cs="Arial"/>
          <w:b/>
          <w:bCs/>
          <w:sz w:val="24"/>
          <w:szCs w:val="24"/>
        </w:rPr>
        <w:t xml:space="preserve">. </w:t>
      </w:r>
      <w:r w:rsidR="00C54200" w:rsidRPr="001569EF">
        <w:rPr>
          <w:rFonts w:ascii="Arial" w:eastAsia="Arial" w:hAnsi="Arial" w:cs="Arial"/>
          <w:sz w:val="24"/>
          <w:szCs w:val="24"/>
        </w:rPr>
        <w:t>Tayse</w:t>
      </w:r>
      <w:r w:rsidR="00C54200">
        <w:rPr>
          <w:rFonts w:ascii="Arial" w:eastAsia="Arial" w:hAnsi="Arial" w:cs="Arial"/>
          <w:b/>
          <w:bCs/>
          <w:sz w:val="24"/>
          <w:szCs w:val="24"/>
        </w:rPr>
        <w:t xml:space="preserve"> </w:t>
      </w:r>
      <w:r w:rsidR="00C54200">
        <w:rPr>
          <w:rFonts w:ascii="Arial" w:eastAsia="Arial" w:hAnsi="Arial" w:cs="Arial"/>
          <w:sz w:val="24"/>
          <w:szCs w:val="24"/>
        </w:rPr>
        <w:t xml:space="preserve">apresenta aos membros do comitê as analises solicitadas para a assessoria de investimentos dos seguintes fundos: </w:t>
      </w:r>
      <w:r w:rsidR="00C54200" w:rsidRPr="00C54200">
        <w:rPr>
          <w:rFonts w:ascii="Arial" w:eastAsia="Arial" w:hAnsi="Arial" w:cs="Arial"/>
          <w:sz w:val="24"/>
          <w:szCs w:val="24"/>
        </w:rPr>
        <w:t>BTG MULTIGESTOR RENDA FIXA GLOBAL BRL MM</w:t>
      </w:r>
      <w:r w:rsidR="00C54200">
        <w:rPr>
          <w:rFonts w:ascii="Arial" w:eastAsia="Arial" w:hAnsi="Arial" w:cs="Arial"/>
          <w:sz w:val="24"/>
          <w:szCs w:val="24"/>
        </w:rPr>
        <w:t xml:space="preserve">, </w:t>
      </w:r>
      <w:r w:rsidR="00C54200" w:rsidRPr="00C54200">
        <w:rPr>
          <w:rFonts w:ascii="Arial" w:eastAsia="Arial" w:hAnsi="Arial" w:cs="Arial"/>
          <w:sz w:val="24"/>
          <w:szCs w:val="24"/>
        </w:rPr>
        <w:t>BTG PACTUAL S&amp;P 500 BRL MULT</w:t>
      </w:r>
      <w:r w:rsidR="00C54200">
        <w:rPr>
          <w:rFonts w:ascii="Arial" w:eastAsia="Arial" w:hAnsi="Arial" w:cs="Arial"/>
          <w:sz w:val="24"/>
          <w:szCs w:val="24"/>
        </w:rPr>
        <w:t xml:space="preserve"> que estão aptos a receber recursos de RPPS  e o </w:t>
      </w:r>
      <w:r w:rsidR="00C54200" w:rsidRPr="00C54200">
        <w:rPr>
          <w:rFonts w:ascii="Arial" w:eastAsia="Arial" w:hAnsi="Arial" w:cs="Arial"/>
          <w:sz w:val="24"/>
          <w:szCs w:val="24"/>
        </w:rPr>
        <w:t>BTG CDB Plus Crédito Privado</w:t>
      </w:r>
      <w:r w:rsidR="00C54200">
        <w:rPr>
          <w:rFonts w:ascii="Arial" w:eastAsia="Arial" w:hAnsi="Arial" w:cs="Arial"/>
          <w:sz w:val="24"/>
          <w:szCs w:val="24"/>
        </w:rPr>
        <w:t xml:space="preserve"> que de acordo com a </w:t>
      </w:r>
      <w:r w:rsidR="00141FBB">
        <w:rPr>
          <w:rFonts w:ascii="Arial" w:eastAsia="Arial" w:hAnsi="Arial" w:cs="Arial"/>
          <w:sz w:val="24"/>
          <w:szCs w:val="24"/>
        </w:rPr>
        <w:t>análise</w:t>
      </w:r>
      <w:r w:rsidR="00C54200">
        <w:rPr>
          <w:rFonts w:ascii="Arial" w:eastAsia="Arial" w:hAnsi="Arial" w:cs="Arial"/>
          <w:sz w:val="24"/>
          <w:szCs w:val="24"/>
        </w:rPr>
        <w:t xml:space="preserve"> da assessoria de investimentos </w:t>
      </w:r>
      <w:r w:rsidR="00C54200" w:rsidRPr="00C54200">
        <w:rPr>
          <w:rFonts w:ascii="Arial" w:eastAsia="Arial" w:hAnsi="Arial" w:cs="Arial"/>
          <w:sz w:val="24"/>
          <w:szCs w:val="24"/>
        </w:rPr>
        <w:t>o fundo não é enquadrado para receber recursos de RPPS. O regulamento do fundo não apenas não faz menção à classificação mínima de crédito dos ativos investidos, como também não menciona os RPPS ou a adequação à 4.963, citando apenas a regulamentação referente a Entidades Fechadas de Previdência Complementar (EFPC). Além disso, dentre a lista de emissores passíveis de investimento pelo fundo, constam algumas Instituições que não são classificadas como de baixo risco de crédito.</w:t>
      </w:r>
      <w:r w:rsidR="00EE4287">
        <w:rPr>
          <w:rFonts w:ascii="Arial" w:eastAsia="Arial" w:hAnsi="Arial" w:cs="Arial"/>
          <w:sz w:val="24"/>
          <w:szCs w:val="24"/>
        </w:rPr>
        <w:t xml:space="preserve"> Após a avaliação das taxas de NTNB’S o comitê decide por não fazer alocação nos fundos apresentados, mas sim direcionar recursos livres em novas aquisições de NTNB’S, fica definido então que o valor do aporte e valor dos pagamentos dos cupons em novembro serão direcionados para aquisição de NTNB.</w:t>
      </w:r>
      <w:r w:rsidR="00EE4287">
        <w:rPr>
          <w:rFonts w:ascii="Arial" w:eastAsia="Arial" w:hAnsi="Arial" w:cs="Arial"/>
          <w:b/>
          <w:bCs/>
          <w:sz w:val="24"/>
          <w:szCs w:val="24"/>
        </w:rPr>
        <w:t xml:space="preserve"> </w:t>
      </w:r>
      <w:r w:rsidR="009A2E96" w:rsidRPr="009A2E96">
        <w:rPr>
          <w:rFonts w:ascii="Arial" w:eastAsia="Arial" w:hAnsi="Arial" w:cs="Arial"/>
          <w:b/>
          <w:bCs/>
          <w:sz w:val="24"/>
          <w:szCs w:val="24"/>
        </w:rPr>
        <w:t>7</w:t>
      </w:r>
      <w:r w:rsidR="009A2E96" w:rsidRPr="00117497">
        <w:rPr>
          <w:rFonts w:ascii="Arial" w:eastAsia="Arial" w:hAnsi="Arial" w:cs="Arial"/>
          <w:b/>
          <w:sz w:val="24"/>
          <w:szCs w:val="24"/>
        </w:rPr>
        <w:t>.Elaboração do Parecer para envio ao Conselho Fiscal</w:t>
      </w:r>
      <w:r w:rsidR="009A2E96">
        <w:rPr>
          <w:rFonts w:ascii="Arial" w:eastAsia="Arial" w:hAnsi="Arial" w:cs="Arial"/>
          <w:b/>
          <w:sz w:val="24"/>
          <w:szCs w:val="24"/>
        </w:rPr>
        <w:t xml:space="preserve">. </w:t>
      </w:r>
      <w:r w:rsidR="009A2E96" w:rsidRPr="009A2E96">
        <w:rPr>
          <w:rFonts w:ascii="Arial" w:eastAsia="Arial" w:hAnsi="Arial" w:cs="Arial"/>
          <w:bCs/>
          <w:sz w:val="24"/>
          <w:szCs w:val="24"/>
        </w:rPr>
        <w:t xml:space="preserve">O comitê desenvolveu o Relatório de Investimentos de </w:t>
      </w:r>
      <w:r w:rsidR="00EE4287">
        <w:rPr>
          <w:rFonts w:ascii="Arial" w:eastAsia="Arial" w:hAnsi="Arial" w:cs="Arial"/>
          <w:bCs/>
          <w:sz w:val="24"/>
          <w:szCs w:val="24"/>
        </w:rPr>
        <w:t>setembro</w:t>
      </w:r>
      <w:r w:rsidR="009A2E96" w:rsidRPr="009A2E96">
        <w:rPr>
          <w:rFonts w:ascii="Arial" w:eastAsia="Arial" w:hAnsi="Arial" w:cs="Arial"/>
          <w:bCs/>
          <w:sz w:val="24"/>
          <w:szCs w:val="24"/>
        </w:rPr>
        <w:t xml:space="preserve"> de 2024 com o seu parecer e que será encaminhado para aprovação do Conselho Fiscal e em seguida será publicado no site do TAIÓPREV</w:t>
      </w:r>
      <w:r w:rsidR="009A2E96">
        <w:rPr>
          <w:rFonts w:ascii="Arial" w:eastAsia="Arial" w:hAnsi="Arial" w:cs="Arial"/>
          <w:bCs/>
          <w:sz w:val="24"/>
          <w:szCs w:val="24"/>
        </w:rPr>
        <w:t xml:space="preserve">. </w:t>
      </w:r>
      <w:r w:rsidR="00EE4287" w:rsidRPr="00EE4287">
        <w:rPr>
          <w:rFonts w:ascii="Arial" w:eastAsia="Arial" w:hAnsi="Arial" w:cs="Arial"/>
          <w:b/>
          <w:sz w:val="24"/>
          <w:szCs w:val="24"/>
        </w:rPr>
        <w:t>8. Política de Investimentos 2025.</w:t>
      </w:r>
      <w:r w:rsidR="00EE4287">
        <w:rPr>
          <w:rFonts w:ascii="Arial" w:eastAsia="Arial" w:hAnsi="Arial" w:cs="Arial"/>
          <w:bCs/>
          <w:sz w:val="24"/>
          <w:szCs w:val="24"/>
        </w:rPr>
        <w:t xml:space="preserve"> Tayse apresenta aos membros do comitê a minuta enviada pela assessoria de investimentos da </w:t>
      </w:r>
      <w:r w:rsidR="00141FBB">
        <w:rPr>
          <w:rFonts w:ascii="Arial" w:eastAsia="Arial" w:hAnsi="Arial" w:cs="Arial"/>
          <w:bCs/>
          <w:sz w:val="24"/>
          <w:szCs w:val="24"/>
        </w:rPr>
        <w:t>Política</w:t>
      </w:r>
      <w:r w:rsidR="00EE4287">
        <w:rPr>
          <w:rFonts w:ascii="Arial" w:eastAsia="Arial" w:hAnsi="Arial" w:cs="Arial"/>
          <w:bCs/>
          <w:sz w:val="24"/>
          <w:szCs w:val="24"/>
        </w:rPr>
        <w:t xml:space="preserve"> de Investimentos 2025,</w:t>
      </w:r>
      <w:r w:rsidR="00CD4D23" w:rsidRPr="00CD4D23">
        <w:t xml:space="preserve"> </w:t>
      </w:r>
      <w:r w:rsidR="00CD4D23" w:rsidRPr="00CD4D23">
        <w:rPr>
          <w:rFonts w:ascii="Arial" w:eastAsia="Arial" w:hAnsi="Arial" w:cs="Arial"/>
          <w:bCs/>
          <w:sz w:val="24"/>
          <w:szCs w:val="24"/>
        </w:rPr>
        <w:t>definiu-se como Meta de Retorno Esperada: IPCA + 4,</w:t>
      </w:r>
      <w:r w:rsidR="00CD4D23">
        <w:rPr>
          <w:rFonts w:ascii="Arial" w:eastAsia="Arial" w:hAnsi="Arial" w:cs="Arial"/>
          <w:bCs/>
          <w:sz w:val="24"/>
          <w:szCs w:val="24"/>
        </w:rPr>
        <w:t>97</w:t>
      </w:r>
      <w:r w:rsidR="00CD4D23" w:rsidRPr="00CD4D23">
        <w:rPr>
          <w:rFonts w:ascii="Arial" w:eastAsia="Arial" w:hAnsi="Arial" w:cs="Arial"/>
          <w:bCs/>
          <w:sz w:val="24"/>
          <w:szCs w:val="24"/>
        </w:rPr>
        <w:t>%. A escolha da taxa de juros real de 4,</w:t>
      </w:r>
      <w:r w:rsidR="00CD4D23">
        <w:rPr>
          <w:rFonts w:ascii="Arial" w:eastAsia="Arial" w:hAnsi="Arial" w:cs="Arial"/>
          <w:bCs/>
          <w:sz w:val="24"/>
          <w:szCs w:val="24"/>
        </w:rPr>
        <w:t>97</w:t>
      </w:r>
      <w:r w:rsidR="00CD4D23" w:rsidRPr="00CD4D23">
        <w:rPr>
          <w:rFonts w:ascii="Arial" w:eastAsia="Arial" w:hAnsi="Arial" w:cs="Arial"/>
          <w:bCs/>
          <w:sz w:val="24"/>
          <w:szCs w:val="24"/>
        </w:rPr>
        <w:t xml:space="preserve">% </w:t>
      </w:r>
      <w:r w:rsidR="00141FBB" w:rsidRPr="00CD4D23">
        <w:rPr>
          <w:rFonts w:ascii="Arial" w:eastAsia="Arial" w:hAnsi="Arial" w:cs="Arial"/>
          <w:bCs/>
          <w:sz w:val="24"/>
          <w:szCs w:val="24"/>
        </w:rPr>
        <w:t>justifica-se</w:t>
      </w:r>
      <w:r w:rsidR="00141FBB">
        <w:rPr>
          <w:rFonts w:ascii="Arial" w:eastAsia="Arial" w:hAnsi="Arial" w:cs="Arial"/>
          <w:bCs/>
          <w:sz w:val="24"/>
          <w:szCs w:val="24"/>
        </w:rPr>
        <w:t>, pois,</w:t>
      </w:r>
      <w:r w:rsidR="00CD4D23">
        <w:rPr>
          <w:rFonts w:ascii="Arial" w:eastAsia="Arial" w:hAnsi="Arial" w:cs="Arial"/>
          <w:bCs/>
          <w:sz w:val="24"/>
          <w:szCs w:val="24"/>
        </w:rPr>
        <w:t xml:space="preserve"> a </w:t>
      </w:r>
      <w:r w:rsidR="00CD4D23" w:rsidRPr="00CD4D23">
        <w:rPr>
          <w:rFonts w:ascii="Arial" w:eastAsia="Arial" w:hAnsi="Arial" w:cs="Arial"/>
          <w:bCs/>
          <w:sz w:val="24"/>
          <w:szCs w:val="24"/>
        </w:rPr>
        <w:t>duration do plano de benefícios apurada é de 18,55 anos, e a taxa de juros parâmetro corresponde, conforme a Portaria nº 1.499/2024 é de 4,97% ao ano.</w:t>
      </w:r>
      <w:r w:rsidR="00CD4D23">
        <w:rPr>
          <w:rFonts w:ascii="Arial" w:eastAsia="Arial" w:hAnsi="Arial" w:cs="Arial"/>
          <w:bCs/>
          <w:sz w:val="24"/>
          <w:szCs w:val="24"/>
        </w:rPr>
        <w:t xml:space="preserve"> Tayse comenta que no dia 30/10/24 o Eduardo Barão da SMI – Assessoria de investimentos, vai estar vindo no Taióprev para em conjunto do comitê definir os limites de </w:t>
      </w:r>
      <w:r w:rsidR="00CD4D23" w:rsidRPr="00CD4D23">
        <w:rPr>
          <w:rFonts w:ascii="Arial" w:eastAsia="Arial" w:hAnsi="Arial" w:cs="Arial"/>
          <w:bCs/>
          <w:sz w:val="24"/>
          <w:szCs w:val="24"/>
        </w:rPr>
        <w:t>alocação objetivo e os limites de aplicação em cada um dos segmentos definidos pela Resolução CMN nº 4.963/2021 e pela Portaria MTP Nº 1.467/2022</w:t>
      </w:r>
      <w:r w:rsidR="00CD4D23">
        <w:rPr>
          <w:rFonts w:ascii="Arial" w:eastAsia="Arial" w:hAnsi="Arial" w:cs="Arial"/>
          <w:bCs/>
          <w:sz w:val="24"/>
          <w:szCs w:val="24"/>
        </w:rPr>
        <w:t xml:space="preserve">. </w:t>
      </w:r>
      <w:r w:rsidR="00EE4287" w:rsidRPr="00CD4D23">
        <w:rPr>
          <w:rFonts w:ascii="Arial" w:eastAsia="Arial" w:hAnsi="Arial" w:cs="Arial"/>
          <w:b/>
          <w:sz w:val="24"/>
          <w:szCs w:val="24"/>
        </w:rPr>
        <w:t>9. Calendário de Reuniões 2025</w:t>
      </w:r>
      <w:r w:rsidR="00EE4287" w:rsidRPr="00EE4287">
        <w:rPr>
          <w:rFonts w:ascii="Arial" w:eastAsia="Arial" w:hAnsi="Arial" w:cs="Arial"/>
          <w:bCs/>
          <w:sz w:val="24"/>
          <w:szCs w:val="24"/>
        </w:rPr>
        <w:t xml:space="preserve">. </w:t>
      </w:r>
      <w:r w:rsidR="00CD4D23">
        <w:rPr>
          <w:rFonts w:ascii="Arial" w:eastAsia="Arial" w:hAnsi="Arial" w:cs="Arial"/>
          <w:bCs/>
          <w:sz w:val="24"/>
          <w:szCs w:val="24"/>
        </w:rPr>
        <w:t xml:space="preserve">Tayse comenta que como é necessário fazer a divulgação do calendário das reuniões de comitê e dos conselhos já é necessário providenciar o calendário para o próximo ano, sendo assim as datas foram definidas conforme tabela no anexo 01 desta ata. </w:t>
      </w:r>
      <w:r w:rsidR="00EE4287" w:rsidRPr="00CD4D23">
        <w:rPr>
          <w:rFonts w:ascii="Arial" w:eastAsia="Arial" w:hAnsi="Arial" w:cs="Arial"/>
          <w:b/>
          <w:sz w:val="24"/>
          <w:szCs w:val="24"/>
        </w:rPr>
        <w:t>10.  Assuntos Gerais</w:t>
      </w:r>
      <w:r w:rsidR="00CD4D23" w:rsidRPr="00CD4D23">
        <w:rPr>
          <w:rFonts w:ascii="Arial" w:eastAsia="Arial" w:hAnsi="Arial" w:cs="Arial"/>
          <w:b/>
          <w:sz w:val="24"/>
          <w:szCs w:val="24"/>
        </w:rPr>
        <w:t xml:space="preserve">. </w:t>
      </w:r>
      <w:r w:rsidR="00CD4D23" w:rsidRPr="00CD4D23">
        <w:rPr>
          <w:rFonts w:ascii="Arial" w:eastAsia="Arial" w:hAnsi="Arial" w:cs="Arial"/>
          <w:bCs/>
          <w:sz w:val="24"/>
          <w:szCs w:val="24"/>
        </w:rPr>
        <w:t>Tayse comenta que nos dias 10 e 11 de outubro o TAIÓPREV passou pela pré auditoria do pró gestão</w:t>
      </w:r>
      <w:r w:rsidR="00141FBB">
        <w:rPr>
          <w:rFonts w:ascii="Arial" w:eastAsia="Arial" w:hAnsi="Arial" w:cs="Arial"/>
          <w:bCs/>
          <w:sz w:val="24"/>
          <w:szCs w:val="24"/>
        </w:rPr>
        <w:t xml:space="preserve"> para nível II</w:t>
      </w:r>
      <w:r w:rsidR="00CD4D23" w:rsidRPr="00CD4D23">
        <w:rPr>
          <w:rFonts w:ascii="Arial" w:eastAsia="Arial" w:hAnsi="Arial" w:cs="Arial"/>
          <w:bCs/>
          <w:sz w:val="24"/>
          <w:szCs w:val="24"/>
        </w:rPr>
        <w:t xml:space="preserve">, e um dos itens apontados foi a falta da manualização do processo de elaboração e aprovação da Politica de investimentos e do DPIN, sendo assim Tayse fez a elaboração dos dois POP’s faltantes e apresentou aos membros do comitê e após será apresentado </w:t>
      </w:r>
      <w:r w:rsidR="00CD4D23" w:rsidRPr="00CD4D23">
        <w:rPr>
          <w:rFonts w:ascii="Arial" w:eastAsia="Arial" w:hAnsi="Arial" w:cs="Arial"/>
          <w:bCs/>
          <w:sz w:val="24"/>
          <w:szCs w:val="24"/>
        </w:rPr>
        <w:lastRenderedPageBreak/>
        <w:t>ao conselho de administração para aprovação e publicação.</w:t>
      </w:r>
      <w:r w:rsidR="00CD4D23">
        <w:rPr>
          <w:rFonts w:ascii="Arial" w:eastAsia="Arial" w:hAnsi="Arial" w:cs="Arial"/>
          <w:b/>
          <w:sz w:val="24"/>
          <w:szCs w:val="24"/>
        </w:rPr>
        <w:t xml:space="preserve"> </w:t>
      </w:r>
      <w:r>
        <w:rPr>
          <w:rFonts w:ascii="Arial" w:eastAsia="Arial" w:hAnsi="Arial" w:cs="Arial"/>
          <w:sz w:val="24"/>
          <w:szCs w:val="24"/>
        </w:rPr>
        <w:t xml:space="preserve">Nada mais havendo a tratar lavrou-se esta ata que segue por mim assinada, Tayse Ariane Geremias e demais membros do comitê de investimentos presentes na reunião. </w:t>
      </w:r>
    </w:p>
    <w:p w14:paraId="7E0BEC6E" w14:textId="77777777" w:rsidR="00646FA2" w:rsidRDefault="00646FA2">
      <w:pPr>
        <w:spacing w:line="360" w:lineRule="auto"/>
        <w:ind w:left="0" w:hanging="2"/>
        <w:jc w:val="both"/>
        <w:rPr>
          <w:rFonts w:ascii="Arial" w:eastAsia="Arial" w:hAnsi="Arial" w:cs="Arial"/>
          <w:sz w:val="24"/>
          <w:szCs w:val="24"/>
        </w:rPr>
      </w:pPr>
    </w:p>
    <w:p w14:paraId="2442DD81" w14:textId="77777777" w:rsidR="00B06639" w:rsidRDefault="00B06639">
      <w:pPr>
        <w:spacing w:line="360" w:lineRule="auto"/>
        <w:ind w:left="0" w:hanging="2"/>
        <w:jc w:val="both"/>
        <w:rPr>
          <w:rFonts w:ascii="Arial" w:eastAsia="Arial" w:hAnsi="Arial" w:cs="Arial"/>
          <w:sz w:val="24"/>
          <w:szCs w:val="24"/>
        </w:rPr>
      </w:pPr>
    </w:p>
    <w:tbl>
      <w:tblPr>
        <w:tblStyle w:val="a"/>
        <w:tblW w:w="8778" w:type="dxa"/>
        <w:jc w:val="center"/>
        <w:tblLayout w:type="fixed"/>
        <w:tblLook w:val="0000" w:firstRow="0" w:lastRow="0" w:firstColumn="0" w:lastColumn="0" w:noHBand="0" w:noVBand="0"/>
      </w:tblPr>
      <w:tblGrid>
        <w:gridCol w:w="4389"/>
        <w:gridCol w:w="4389"/>
      </w:tblGrid>
      <w:tr w:rsidR="00646FA2" w14:paraId="65706E50" w14:textId="77777777">
        <w:trPr>
          <w:jc w:val="center"/>
        </w:trPr>
        <w:tc>
          <w:tcPr>
            <w:tcW w:w="4389" w:type="dxa"/>
          </w:tcPr>
          <w:p w14:paraId="2A7A4221" w14:textId="77777777" w:rsidR="00646FA2" w:rsidRPr="006577AF" w:rsidRDefault="003F1A54">
            <w:pPr>
              <w:ind w:left="0" w:hanging="2"/>
              <w:jc w:val="center"/>
              <w:rPr>
                <w:rFonts w:ascii="Arial" w:hAnsi="Arial" w:cs="Arial"/>
                <w:sz w:val="24"/>
                <w:szCs w:val="24"/>
              </w:rPr>
            </w:pPr>
            <w:r w:rsidRPr="006577AF">
              <w:rPr>
                <w:rFonts w:ascii="Arial" w:hAnsi="Arial" w:cs="Arial"/>
                <w:sz w:val="24"/>
                <w:szCs w:val="24"/>
              </w:rPr>
              <w:t>VANESSA MANCHEIN</w:t>
            </w:r>
          </w:p>
          <w:p w14:paraId="2F47C3BB" w14:textId="77777777" w:rsidR="00646FA2" w:rsidRPr="006577AF" w:rsidRDefault="00646FA2">
            <w:pPr>
              <w:ind w:left="0" w:hanging="2"/>
              <w:jc w:val="center"/>
              <w:rPr>
                <w:rFonts w:ascii="Arial" w:hAnsi="Arial" w:cs="Arial"/>
                <w:sz w:val="24"/>
                <w:szCs w:val="24"/>
              </w:rPr>
            </w:pPr>
          </w:p>
        </w:tc>
        <w:tc>
          <w:tcPr>
            <w:tcW w:w="4389" w:type="dxa"/>
          </w:tcPr>
          <w:p w14:paraId="6F2CAB4E" w14:textId="77777777" w:rsidR="00646FA2" w:rsidRPr="006577AF" w:rsidRDefault="003F1A54">
            <w:pPr>
              <w:ind w:left="0" w:hanging="2"/>
              <w:jc w:val="center"/>
              <w:rPr>
                <w:rFonts w:ascii="Arial" w:hAnsi="Arial" w:cs="Arial"/>
                <w:sz w:val="24"/>
                <w:szCs w:val="24"/>
              </w:rPr>
            </w:pPr>
            <w:r w:rsidRPr="006577AF">
              <w:rPr>
                <w:rFonts w:ascii="Arial" w:hAnsi="Arial" w:cs="Arial"/>
                <w:sz w:val="24"/>
                <w:szCs w:val="24"/>
              </w:rPr>
              <w:t>TAYSE ARIANE GEREMIAS</w:t>
            </w:r>
          </w:p>
          <w:p w14:paraId="1FB4CF64" w14:textId="77777777" w:rsidR="00646FA2" w:rsidRPr="006577AF" w:rsidRDefault="00646FA2">
            <w:pPr>
              <w:ind w:left="0" w:hanging="2"/>
              <w:rPr>
                <w:rFonts w:ascii="Arial" w:hAnsi="Arial" w:cs="Arial"/>
                <w:sz w:val="24"/>
                <w:szCs w:val="24"/>
              </w:rPr>
            </w:pPr>
          </w:p>
          <w:p w14:paraId="7684F323" w14:textId="77777777" w:rsidR="00646FA2" w:rsidRPr="006577AF" w:rsidRDefault="00646FA2">
            <w:pPr>
              <w:ind w:left="0" w:hanging="2"/>
              <w:rPr>
                <w:rFonts w:ascii="Arial" w:hAnsi="Arial" w:cs="Arial"/>
                <w:sz w:val="24"/>
                <w:szCs w:val="24"/>
              </w:rPr>
            </w:pPr>
          </w:p>
        </w:tc>
      </w:tr>
      <w:tr w:rsidR="00646FA2" w14:paraId="21B4E7E8" w14:textId="77777777">
        <w:trPr>
          <w:jc w:val="center"/>
        </w:trPr>
        <w:tc>
          <w:tcPr>
            <w:tcW w:w="4389" w:type="dxa"/>
          </w:tcPr>
          <w:p w14:paraId="2544E2C8" w14:textId="77777777" w:rsidR="00646FA2" w:rsidRPr="006577AF" w:rsidRDefault="00646FA2">
            <w:pPr>
              <w:ind w:left="0" w:hanging="2"/>
              <w:jc w:val="center"/>
              <w:rPr>
                <w:rFonts w:ascii="Arial" w:hAnsi="Arial" w:cs="Arial"/>
                <w:sz w:val="24"/>
                <w:szCs w:val="24"/>
              </w:rPr>
            </w:pPr>
          </w:p>
          <w:p w14:paraId="5EBCE5D3" w14:textId="77777777" w:rsidR="00646FA2" w:rsidRPr="006577AF" w:rsidRDefault="00646FA2">
            <w:pPr>
              <w:ind w:left="0" w:hanging="2"/>
              <w:jc w:val="center"/>
              <w:rPr>
                <w:rFonts w:ascii="Arial" w:hAnsi="Arial" w:cs="Arial"/>
                <w:sz w:val="24"/>
                <w:szCs w:val="24"/>
              </w:rPr>
            </w:pPr>
          </w:p>
          <w:p w14:paraId="0FC9C152" w14:textId="77777777" w:rsidR="00646FA2" w:rsidRPr="006577AF" w:rsidRDefault="003F1A54">
            <w:pPr>
              <w:ind w:left="0" w:hanging="2"/>
              <w:jc w:val="center"/>
              <w:rPr>
                <w:rFonts w:ascii="Arial" w:hAnsi="Arial" w:cs="Arial"/>
                <w:sz w:val="24"/>
                <w:szCs w:val="24"/>
              </w:rPr>
            </w:pPr>
            <w:r w:rsidRPr="006577AF">
              <w:rPr>
                <w:rFonts w:ascii="Arial" w:hAnsi="Arial" w:cs="Arial"/>
                <w:sz w:val="24"/>
                <w:szCs w:val="24"/>
              </w:rPr>
              <w:t>IRINÉIA DE LURDES CARDOSO BALDESSAR</w:t>
            </w:r>
          </w:p>
        </w:tc>
        <w:tc>
          <w:tcPr>
            <w:tcW w:w="4389" w:type="dxa"/>
          </w:tcPr>
          <w:p w14:paraId="4A0A2F52" w14:textId="77777777" w:rsidR="00646FA2" w:rsidRPr="006577AF" w:rsidRDefault="00646FA2">
            <w:pPr>
              <w:ind w:left="0" w:hanging="2"/>
              <w:rPr>
                <w:rFonts w:ascii="Arial" w:hAnsi="Arial" w:cs="Arial"/>
                <w:sz w:val="24"/>
                <w:szCs w:val="24"/>
              </w:rPr>
            </w:pPr>
          </w:p>
          <w:p w14:paraId="03C6300A" w14:textId="77777777" w:rsidR="00646FA2" w:rsidRPr="006577AF" w:rsidRDefault="00646FA2">
            <w:pPr>
              <w:ind w:left="0" w:hanging="2"/>
              <w:jc w:val="center"/>
              <w:rPr>
                <w:rFonts w:ascii="Arial" w:hAnsi="Arial" w:cs="Arial"/>
                <w:sz w:val="24"/>
                <w:szCs w:val="24"/>
              </w:rPr>
            </w:pPr>
          </w:p>
          <w:p w14:paraId="652D9B8A" w14:textId="4278F4ED" w:rsidR="00646FA2" w:rsidRPr="006577AF" w:rsidRDefault="00646FA2">
            <w:pPr>
              <w:ind w:left="0" w:hanging="2"/>
              <w:jc w:val="center"/>
              <w:rPr>
                <w:rFonts w:ascii="Arial" w:hAnsi="Arial" w:cs="Arial"/>
                <w:sz w:val="24"/>
                <w:szCs w:val="24"/>
              </w:rPr>
            </w:pPr>
          </w:p>
        </w:tc>
      </w:tr>
    </w:tbl>
    <w:p w14:paraId="343182E7" w14:textId="77777777" w:rsidR="00646FA2" w:rsidRDefault="00646FA2">
      <w:pPr>
        <w:ind w:left="0" w:hanging="2"/>
        <w:jc w:val="center"/>
        <w:rPr>
          <w:sz w:val="24"/>
          <w:szCs w:val="24"/>
        </w:rPr>
      </w:pPr>
    </w:p>
    <w:p w14:paraId="481DFA07" w14:textId="77777777" w:rsidR="00141FBB" w:rsidRDefault="00141FBB">
      <w:pPr>
        <w:ind w:left="0" w:hanging="2"/>
        <w:jc w:val="center"/>
        <w:rPr>
          <w:sz w:val="24"/>
          <w:szCs w:val="24"/>
        </w:rPr>
      </w:pPr>
    </w:p>
    <w:p w14:paraId="44D7CB40" w14:textId="77777777" w:rsidR="00141FBB" w:rsidRDefault="00141FBB">
      <w:pPr>
        <w:ind w:left="0" w:hanging="2"/>
        <w:jc w:val="center"/>
        <w:rPr>
          <w:sz w:val="24"/>
          <w:szCs w:val="24"/>
        </w:rPr>
      </w:pPr>
    </w:p>
    <w:p w14:paraId="19D4D955" w14:textId="3E167EE7" w:rsidR="00141FBB" w:rsidRPr="00225521" w:rsidRDefault="00141FBB">
      <w:pPr>
        <w:ind w:left="0" w:hanging="2"/>
        <w:jc w:val="center"/>
        <w:rPr>
          <w:b/>
          <w:bCs/>
          <w:sz w:val="24"/>
          <w:szCs w:val="24"/>
        </w:rPr>
      </w:pPr>
      <w:r w:rsidRPr="00225521">
        <w:rPr>
          <w:b/>
          <w:bCs/>
          <w:sz w:val="24"/>
          <w:szCs w:val="24"/>
        </w:rPr>
        <w:t>ANEXO I</w:t>
      </w:r>
    </w:p>
    <w:p w14:paraId="4CB11948" w14:textId="77777777" w:rsidR="00141FBB" w:rsidRDefault="00141FBB">
      <w:pPr>
        <w:ind w:left="0" w:hanging="2"/>
        <w:jc w:val="center"/>
        <w:rPr>
          <w:sz w:val="24"/>
          <w:szCs w:val="24"/>
        </w:rPr>
      </w:pPr>
    </w:p>
    <w:tbl>
      <w:tblPr>
        <w:tblStyle w:val="TabeladeGrade4-nfase5"/>
        <w:tblW w:w="0" w:type="auto"/>
        <w:tblLook w:val="04A0" w:firstRow="1" w:lastRow="0" w:firstColumn="1" w:lastColumn="0" w:noHBand="0" w:noVBand="1"/>
      </w:tblPr>
      <w:tblGrid>
        <w:gridCol w:w="4814"/>
        <w:gridCol w:w="4815"/>
      </w:tblGrid>
      <w:tr w:rsidR="00225521" w14:paraId="5D8FD598" w14:textId="77777777" w:rsidTr="002255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gridSpan w:val="2"/>
          </w:tcPr>
          <w:p w14:paraId="0D9D1087" w14:textId="59290CE7" w:rsidR="00225521" w:rsidRDefault="00225521" w:rsidP="00141FBB">
            <w:pPr>
              <w:ind w:leftChars="0" w:left="0" w:firstLineChars="0" w:firstLine="0"/>
              <w:jc w:val="center"/>
              <w:rPr>
                <w:sz w:val="24"/>
                <w:szCs w:val="24"/>
                <w:u w:val="single"/>
              </w:rPr>
            </w:pPr>
            <w:r>
              <w:rPr>
                <w:sz w:val="24"/>
                <w:szCs w:val="24"/>
              </w:rPr>
              <w:t>CALENDÁRIO DE REUNIÃO DO COMITÊ DE INVESTIMENTOS 2025</w:t>
            </w:r>
          </w:p>
        </w:tc>
      </w:tr>
      <w:tr w:rsidR="00225521" w14:paraId="269A7084" w14:textId="77777777" w:rsidTr="002255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7F8CE69D" w14:textId="68157836" w:rsidR="00225521" w:rsidRDefault="00225521" w:rsidP="00225521">
            <w:pPr>
              <w:ind w:leftChars="0" w:left="0" w:firstLineChars="0" w:firstLine="0"/>
              <w:jc w:val="center"/>
              <w:rPr>
                <w:sz w:val="24"/>
                <w:szCs w:val="24"/>
                <w:u w:val="single"/>
              </w:rPr>
            </w:pPr>
            <w:r>
              <w:rPr>
                <w:sz w:val="24"/>
                <w:szCs w:val="24"/>
              </w:rPr>
              <w:t>Data</w:t>
            </w:r>
          </w:p>
        </w:tc>
        <w:tc>
          <w:tcPr>
            <w:tcW w:w="4815" w:type="dxa"/>
          </w:tcPr>
          <w:p w14:paraId="5B780666" w14:textId="1AB19A3E" w:rsidR="00225521" w:rsidRDefault="00225521" w:rsidP="00225521">
            <w:pPr>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sz w:val="24"/>
                <w:szCs w:val="24"/>
                <w:u w:val="single"/>
              </w:rPr>
            </w:pPr>
            <w:r>
              <w:rPr>
                <w:sz w:val="24"/>
                <w:szCs w:val="24"/>
              </w:rPr>
              <w:t>Horário</w:t>
            </w:r>
          </w:p>
        </w:tc>
      </w:tr>
      <w:tr w:rsidR="00225521" w14:paraId="32435ABA" w14:textId="77777777" w:rsidTr="00225521">
        <w:tc>
          <w:tcPr>
            <w:cnfStyle w:val="001000000000" w:firstRow="0" w:lastRow="0" w:firstColumn="1" w:lastColumn="0" w:oddVBand="0" w:evenVBand="0" w:oddHBand="0" w:evenHBand="0" w:firstRowFirstColumn="0" w:firstRowLastColumn="0" w:lastRowFirstColumn="0" w:lastRowLastColumn="0"/>
            <w:tcW w:w="4814" w:type="dxa"/>
          </w:tcPr>
          <w:p w14:paraId="72021E27" w14:textId="2A770235" w:rsidR="00225521" w:rsidRDefault="00225521" w:rsidP="00225521">
            <w:pPr>
              <w:ind w:leftChars="0" w:left="0" w:firstLineChars="0" w:firstLine="0"/>
              <w:jc w:val="center"/>
              <w:rPr>
                <w:sz w:val="24"/>
                <w:szCs w:val="24"/>
                <w:u w:val="single"/>
              </w:rPr>
            </w:pPr>
            <w:r>
              <w:rPr>
                <w:sz w:val="24"/>
                <w:szCs w:val="24"/>
              </w:rPr>
              <w:t>22/01/2025</w:t>
            </w:r>
          </w:p>
        </w:tc>
        <w:tc>
          <w:tcPr>
            <w:tcW w:w="4815" w:type="dxa"/>
          </w:tcPr>
          <w:p w14:paraId="564BBA9F" w14:textId="329C823F" w:rsidR="00225521" w:rsidRDefault="00225521" w:rsidP="00225521">
            <w:pPr>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sz w:val="24"/>
                <w:szCs w:val="24"/>
                <w:u w:val="single"/>
              </w:rPr>
            </w:pPr>
            <w:r>
              <w:rPr>
                <w:sz w:val="24"/>
                <w:szCs w:val="24"/>
              </w:rPr>
              <w:t>9:00h</w:t>
            </w:r>
          </w:p>
        </w:tc>
      </w:tr>
      <w:tr w:rsidR="00225521" w14:paraId="29053303" w14:textId="77777777" w:rsidTr="002255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5CFC59CD" w14:textId="393D804E" w:rsidR="00225521" w:rsidRDefault="00225521" w:rsidP="00225521">
            <w:pPr>
              <w:ind w:leftChars="0" w:left="0" w:firstLineChars="0" w:firstLine="0"/>
              <w:jc w:val="center"/>
              <w:rPr>
                <w:sz w:val="24"/>
                <w:szCs w:val="24"/>
                <w:u w:val="single"/>
              </w:rPr>
            </w:pPr>
            <w:r>
              <w:rPr>
                <w:sz w:val="24"/>
                <w:szCs w:val="24"/>
              </w:rPr>
              <w:t>19/02/2025</w:t>
            </w:r>
          </w:p>
        </w:tc>
        <w:tc>
          <w:tcPr>
            <w:tcW w:w="4815" w:type="dxa"/>
          </w:tcPr>
          <w:p w14:paraId="580DEB35" w14:textId="07700CE0" w:rsidR="00225521" w:rsidRDefault="00225521" w:rsidP="00225521">
            <w:pPr>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sz w:val="24"/>
                <w:szCs w:val="24"/>
                <w:u w:val="single"/>
              </w:rPr>
            </w:pPr>
            <w:r w:rsidRPr="006D0CD8">
              <w:rPr>
                <w:sz w:val="24"/>
                <w:szCs w:val="24"/>
              </w:rPr>
              <w:t>9:00h</w:t>
            </w:r>
          </w:p>
        </w:tc>
      </w:tr>
      <w:tr w:rsidR="00225521" w14:paraId="066B1634" w14:textId="77777777" w:rsidTr="00225521">
        <w:tc>
          <w:tcPr>
            <w:cnfStyle w:val="001000000000" w:firstRow="0" w:lastRow="0" w:firstColumn="1" w:lastColumn="0" w:oddVBand="0" w:evenVBand="0" w:oddHBand="0" w:evenHBand="0" w:firstRowFirstColumn="0" w:firstRowLastColumn="0" w:lastRowFirstColumn="0" w:lastRowLastColumn="0"/>
            <w:tcW w:w="4814" w:type="dxa"/>
          </w:tcPr>
          <w:p w14:paraId="4782BD00" w14:textId="70AAAD5C" w:rsidR="00225521" w:rsidRDefault="00225521" w:rsidP="00225521">
            <w:pPr>
              <w:ind w:leftChars="0" w:left="0" w:firstLineChars="0" w:firstLine="0"/>
              <w:jc w:val="center"/>
              <w:rPr>
                <w:sz w:val="24"/>
                <w:szCs w:val="24"/>
                <w:u w:val="single"/>
              </w:rPr>
            </w:pPr>
            <w:r>
              <w:rPr>
                <w:sz w:val="24"/>
                <w:szCs w:val="24"/>
              </w:rPr>
              <w:t>19/03/2025</w:t>
            </w:r>
          </w:p>
        </w:tc>
        <w:tc>
          <w:tcPr>
            <w:tcW w:w="4815" w:type="dxa"/>
          </w:tcPr>
          <w:p w14:paraId="7D998AB4" w14:textId="5EC9A745" w:rsidR="00225521" w:rsidRDefault="00225521" w:rsidP="00225521">
            <w:pPr>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sz w:val="24"/>
                <w:szCs w:val="24"/>
                <w:u w:val="single"/>
              </w:rPr>
            </w:pPr>
            <w:r w:rsidRPr="006D0CD8">
              <w:rPr>
                <w:sz w:val="24"/>
                <w:szCs w:val="24"/>
              </w:rPr>
              <w:t>9:00h</w:t>
            </w:r>
          </w:p>
        </w:tc>
      </w:tr>
      <w:tr w:rsidR="00225521" w14:paraId="02EB60DD" w14:textId="77777777" w:rsidTr="002255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553F7147" w14:textId="7922DDDA" w:rsidR="00225521" w:rsidRDefault="00225521" w:rsidP="00225521">
            <w:pPr>
              <w:ind w:leftChars="0" w:left="0" w:firstLineChars="0" w:firstLine="0"/>
              <w:jc w:val="center"/>
              <w:rPr>
                <w:sz w:val="24"/>
                <w:szCs w:val="24"/>
                <w:u w:val="single"/>
              </w:rPr>
            </w:pPr>
            <w:r>
              <w:rPr>
                <w:sz w:val="24"/>
                <w:szCs w:val="24"/>
              </w:rPr>
              <w:t>23/04/2025</w:t>
            </w:r>
          </w:p>
        </w:tc>
        <w:tc>
          <w:tcPr>
            <w:tcW w:w="4815" w:type="dxa"/>
          </w:tcPr>
          <w:p w14:paraId="7DE986F5" w14:textId="49A5E197" w:rsidR="00225521" w:rsidRDefault="00225521" w:rsidP="00225521">
            <w:pPr>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sz w:val="24"/>
                <w:szCs w:val="24"/>
                <w:u w:val="single"/>
              </w:rPr>
            </w:pPr>
            <w:r w:rsidRPr="006D0CD8">
              <w:rPr>
                <w:sz w:val="24"/>
                <w:szCs w:val="24"/>
              </w:rPr>
              <w:t>9:00h</w:t>
            </w:r>
          </w:p>
        </w:tc>
      </w:tr>
      <w:tr w:rsidR="00225521" w14:paraId="6182F2C4" w14:textId="77777777" w:rsidTr="00225521">
        <w:tc>
          <w:tcPr>
            <w:cnfStyle w:val="001000000000" w:firstRow="0" w:lastRow="0" w:firstColumn="1" w:lastColumn="0" w:oddVBand="0" w:evenVBand="0" w:oddHBand="0" w:evenHBand="0" w:firstRowFirstColumn="0" w:firstRowLastColumn="0" w:lastRowFirstColumn="0" w:lastRowLastColumn="0"/>
            <w:tcW w:w="4814" w:type="dxa"/>
          </w:tcPr>
          <w:p w14:paraId="1AEFBB81" w14:textId="7BCC3F2F" w:rsidR="00225521" w:rsidRDefault="00225521" w:rsidP="00225521">
            <w:pPr>
              <w:ind w:leftChars="0" w:left="0" w:firstLineChars="0" w:firstLine="0"/>
              <w:jc w:val="center"/>
              <w:rPr>
                <w:sz w:val="24"/>
                <w:szCs w:val="24"/>
                <w:u w:val="single"/>
              </w:rPr>
            </w:pPr>
            <w:r>
              <w:rPr>
                <w:sz w:val="24"/>
                <w:szCs w:val="24"/>
              </w:rPr>
              <w:t>21/05/2025</w:t>
            </w:r>
          </w:p>
        </w:tc>
        <w:tc>
          <w:tcPr>
            <w:tcW w:w="4815" w:type="dxa"/>
          </w:tcPr>
          <w:p w14:paraId="79F906B3" w14:textId="65A0EC67" w:rsidR="00225521" w:rsidRDefault="00225521" w:rsidP="00225521">
            <w:pPr>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sz w:val="24"/>
                <w:szCs w:val="24"/>
                <w:u w:val="single"/>
              </w:rPr>
            </w:pPr>
            <w:r w:rsidRPr="006D0CD8">
              <w:rPr>
                <w:sz w:val="24"/>
                <w:szCs w:val="24"/>
              </w:rPr>
              <w:t>9:00h</w:t>
            </w:r>
          </w:p>
        </w:tc>
      </w:tr>
      <w:tr w:rsidR="00225521" w14:paraId="3E57B68D" w14:textId="77777777" w:rsidTr="002255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77A83F36" w14:textId="699A0ED8" w:rsidR="00225521" w:rsidRDefault="00225521" w:rsidP="00225521">
            <w:pPr>
              <w:ind w:leftChars="0" w:left="0" w:firstLineChars="0" w:firstLine="0"/>
              <w:jc w:val="center"/>
              <w:rPr>
                <w:sz w:val="24"/>
                <w:szCs w:val="24"/>
                <w:u w:val="single"/>
              </w:rPr>
            </w:pPr>
            <w:r>
              <w:rPr>
                <w:sz w:val="24"/>
                <w:szCs w:val="24"/>
              </w:rPr>
              <w:t>18/06/2025</w:t>
            </w:r>
          </w:p>
        </w:tc>
        <w:tc>
          <w:tcPr>
            <w:tcW w:w="4815" w:type="dxa"/>
          </w:tcPr>
          <w:p w14:paraId="0C8DFE0B" w14:textId="56387618" w:rsidR="00225521" w:rsidRDefault="00225521" w:rsidP="00225521">
            <w:pPr>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sz w:val="24"/>
                <w:szCs w:val="24"/>
                <w:u w:val="single"/>
              </w:rPr>
            </w:pPr>
            <w:r w:rsidRPr="006D0CD8">
              <w:rPr>
                <w:sz w:val="24"/>
                <w:szCs w:val="24"/>
              </w:rPr>
              <w:t>9:00h</w:t>
            </w:r>
          </w:p>
        </w:tc>
      </w:tr>
      <w:tr w:rsidR="00225521" w14:paraId="17055F6B" w14:textId="77777777" w:rsidTr="00225521">
        <w:tc>
          <w:tcPr>
            <w:cnfStyle w:val="001000000000" w:firstRow="0" w:lastRow="0" w:firstColumn="1" w:lastColumn="0" w:oddVBand="0" w:evenVBand="0" w:oddHBand="0" w:evenHBand="0" w:firstRowFirstColumn="0" w:firstRowLastColumn="0" w:lastRowFirstColumn="0" w:lastRowLastColumn="0"/>
            <w:tcW w:w="4814" w:type="dxa"/>
          </w:tcPr>
          <w:p w14:paraId="46030ECC" w14:textId="4F1759B3" w:rsidR="00225521" w:rsidRDefault="00225521" w:rsidP="00225521">
            <w:pPr>
              <w:ind w:leftChars="0" w:left="0" w:firstLineChars="0" w:firstLine="0"/>
              <w:jc w:val="center"/>
              <w:rPr>
                <w:sz w:val="24"/>
                <w:szCs w:val="24"/>
                <w:u w:val="single"/>
              </w:rPr>
            </w:pPr>
            <w:r>
              <w:rPr>
                <w:sz w:val="24"/>
                <w:szCs w:val="24"/>
              </w:rPr>
              <w:t>23/07/2025</w:t>
            </w:r>
          </w:p>
        </w:tc>
        <w:tc>
          <w:tcPr>
            <w:tcW w:w="4815" w:type="dxa"/>
          </w:tcPr>
          <w:p w14:paraId="7E5B7E33" w14:textId="4DD8FFD8" w:rsidR="00225521" w:rsidRDefault="00225521" w:rsidP="00225521">
            <w:pPr>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sz w:val="24"/>
                <w:szCs w:val="24"/>
                <w:u w:val="single"/>
              </w:rPr>
            </w:pPr>
            <w:r w:rsidRPr="006D0CD8">
              <w:rPr>
                <w:sz w:val="24"/>
                <w:szCs w:val="24"/>
              </w:rPr>
              <w:t>9:00h</w:t>
            </w:r>
          </w:p>
        </w:tc>
      </w:tr>
      <w:tr w:rsidR="00225521" w14:paraId="4EC81AA2" w14:textId="77777777" w:rsidTr="002255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442A4D22" w14:textId="18DBD6D1" w:rsidR="00225521" w:rsidRDefault="00225521" w:rsidP="00225521">
            <w:pPr>
              <w:ind w:leftChars="0" w:left="0" w:firstLineChars="0" w:firstLine="0"/>
              <w:jc w:val="center"/>
              <w:rPr>
                <w:sz w:val="24"/>
                <w:szCs w:val="24"/>
                <w:u w:val="single"/>
              </w:rPr>
            </w:pPr>
            <w:r>
              <w:rPr>
                <w:sz w:val="24"/>
                <w:szCs w:val="24"/>
              </w:rPr>
              <w:t>20/08/2025</w:t>
            </w:r>
          </w:p>
        </w:tc>
        <w:tc>
          <w:tcPr>
            <w:tcW w:w="4815" w:type="dxa"/>
          </w:tcPr>
          <w:p w14:paraId="25DDF336" w14:textId="44CCBF21" w:rsidR="00225521" w:rsidRDefault="00225521" w:rsidP="00225521">
            <w:pPr>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sz w:val="24"/>
                <w:szCs w:val="24"/>
                <w:u w:val="single"/>
              </w:rPr>
            </w:pPr>
            <w:r w:rsidRPr="006D0CD8">
              <w:rPr>
                <w:sz w:val="24"/>
                <w:szCs w:val="24"/>
              </w:rPr>
              <w:t>9:00h</w:t>
            </w:r>
          </w:p>
        </w:tc>
      </w:tr>
      <w:tr w:rsidR="00225521" w14:paraId="2FFC0D43" w14:textId="77777777" w:rsidTr="00225521">
        <w:tc>
          <w:tcPr>
            <w:cnfStyle w:val="001000000000" w:firstRow="0" w:lastRow="0" w:firstColumn="1" w:lastColumn="0" w:oddVBand="0" w:evenVBand="0" w:oddHBand="0" w:evenHBand="0" w:firstRowFirstColumn="0" w:firstRowLastColumn="0" w:lastRowFirstColumn="0" w:lastRowLastColumn="0"/>
            <w:tcW w:w="4814" w:type="dxa"/>
          </w:tcPr>
          <w:p w14:paraId="6DB2A5A5" w14:textId="7DCD3F75" w:rsidR="00225521" w:rsidRDefault="00225521" w:rsidP="00225521">
            <w:pPr>
              <w:ind w:leftChars="0" w:left="0" w:firstLineChars="0" w:firstLine="0"/>
              <w:jc w:val="center"/>
              <w:rPr>
                <w:sz w:val="24"/>
                <w:szCs w:val="24"/>
                <w:u w:val="single"/>
              </w:rPr>
            </w:pPr>
            <w:r>
              <w:rPr>
                <w:sz w:val="24"/>
                <w:szCs w:val="24"/>
              </w:rPr>
              <w:t>24/09/2025</w:t>
            </w:r>
          </w:p>
        </w:tc>
        <w:tc>
          <w:tcPr>
            <w:tcW w:w="4815" w:type="dxa"/>
          </w:tcPr>
          <w:p w14:paraId="7989A140" w14:textId="46086FFA" w:rsidR="00225521" w:rsidRDefault="00225521" w:rsidP="00225521">
            <w:pPr>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sz w:val="24"/>
                <w:szCs w:val="24"/>
                <w:u w:val="single"/>
              </w:rPr>
            </w:pPr>
            <w:r w:rsidRPr="006D0CD8">
              <w:rPr>
                <w:sz w:val="24"/>
                <w:szCs w:val="24"/>
              </w:rPr>
              <w:t>9:00h</w:t>
            </w:r>
          </w:p>
        </w:tc>
      </w:tr>
      <w:tr w:rsidR="00225521" w14:paraId="33589871" w14:textId="77777777" w:rsidTr="002255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7395844D" w14:textId="4CBCA90E" w:rsidR="00225521" w:rsidRDefault="00225521" w:rsidP="00225521">
            <w:pPr>
              <w:ind w:leftChars="0" w:left="0" w:firstLineChars="0" w:firstLine="0"/>
              <w:jc w:val="center"/>
              <w:rPr>
                <w:sz w:val="24"/>
                <w:szCs w:val="24"/>
                <w:u w:val="single"/>
              </w:rPr>
            </w:pPr>
            <w:r>
              <w:rPr>
                <w:sz w:val="24"/>
                <w:szCs w:val="24"/>
              </w:rPr>
              <w:t>22/10/2025</w:t>
            </w:r>
          </w:p>
        </w:tc>
        <w:tc>
          <w:tcPr>
            <w:tcW w:w="4815" w:type="dxa"/>
          </w:tcPr>
          <w:p w14:paraId="4A016A52" w14:textId="7CAE52C0" w:rsidR="00225521" w:rsidRDefault="00225521" w:rsidP="00225521">
            <w:pPr>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sz w:val="24"/>
                <w:szCs w:val="24"/>
                <w:u w:val="single"/>
              </w:rPr>
            </w:pPr>
            <w:r w:rsidRPr="006D0CD8">
              <w:rPr>
                <w:sz w:val="24"/>
                <w:szCs w:val="24"/>
              </w:rPr>
              <w:t>9:00h</w:t>
            </w:r>
          </w:p>
        </w:tc>
      </w:tr>
      <w:tr w:rsidR="00225521" w14:paraId="638A1C0E" w14:textId="77777777" w:rsidTr="00225521">
        <w:tc>
          <w:tcPr>
            <w:cnfStyle w:val="001000000000" w:firstRow="0" w:lastRow="0" w:firstColumn="1" w:lastColumn="0" w:oddVBand="0" w:evenVBand="0" w:oddHBand="0" w:evenHBand="0" w:firstRowFirstColumn="0" w:firstRowLastColumn="0" w:lastRowFirstColumn="0" w:lastRowLastColumn="0"/>
            <w:tcW w:w="4814" w:type="dxa"/>
          </w:tcPr>
          <w:p w14:paraId="68DCF9EB" w14:textId="46A999B1" w:rsidR="00225521" w:rsidRDefault="00225521" w:rsidP="00225521">
            <w:pPr>
              <w:ind w:leftChars="0" w:left="0" w:firstLineChars="0" w:firstLine="0"/>
              <w:jc w:val="center"/>
              <w:rPr>
                <w:sz w:val="24"/>
                <w:szCs w:val="24"/>
                <w:u w:val="single"/>
              </w:rPr>
            </w:pPr>
            <w:r>
              <w:rPr>
                <w:sz w:val="24"/>
                <w:szCs w:val="24"/>
              </w:rPr>
              <w:t>19/11/2025</w:t>
            </w:r>
          </w:p>
        </w:tc>
        <w:tc>
          <w:tcPr>
            <w:tcW w:w="4815" w:type="dxa"/>
          </w:tcPr>
          <w:p w14:paraId="006CA888" w14:textId="737A0492" w:rsidR="00225521" w:rsidRDefault="00225521" w:rsidP="00225521">
            <w:pPr>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sz w:val="24"/>
                <w:szCs w:val="24"/>
                <w:u w:val="single"/>
              </w:rPr>
            </w:pPr>
            <w:r w:rsidRPr="006D0CD8">
              <w:rPr>
                <w:sz w:val="24"/>
                <w:szCs w:val="24"/>
              </w:rPr>
              <w:t>9:00h</w:t>
            </w:r>
          </w:p>
        </w:tc>
      </w:tr>
      <w:tr w:rsidR="00225521" w14:paraId="7226B5FF" w14:textId="77777777" w:rsidTr="002255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44633D32" w14:textId="2B0E5D1C" w:rsidR="00225521" w:rsidRDefault="00225521" w:rsidP="00225521">
            <w:pPr>
              <w:ind w:leftChars="0" w:left="0" w:firstLineChars="0" w:firstLine="0"/>
              <w:jc w:val="center"/>
              <w:rPr>
                <w:sz w:val="24"/>
                <w:szCs w:val="24"/>
                <w:u w:val="single"/>
              </w:rPr>
            </w:pPr>
            <w:r>
              <w:rPr>
                <w:sz w:val="24"/>
                <w:szCs w:val="24"/>
              </w:rPr>
              <w:t>10/12/2025</w:t>
            </w:r>
          </w:p>
        </w:tc>
        <w:tc>
          <w:tcPr>
            <w:tcW w:w="4815" w:type="dxa"/>
          </w:tcPr>
          <w:p w14:paraId="2E2F92FD" w14:textId="6116CF9D" w:rsidR="00225521" w:rsidRDefault="00225521" w:rsidP="00225521">
            <w:pPr>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sz w:val="24"/>
                <w:szCs w:val="24"/>
                <w:u w:val="single"/>
              </w:rPr>
            </w:pPr>
            <w:r w:rsidRPr="006D0CD8">
              <w:rPr>
                <w:sz w:val="24"/>
                <w:szCs w:val="24"/>
              </w:rPr>
              <w:t>9:00h</w:t>
            </w:r>
          </w:p>
        </w:tc>
      </w:tr>
    </w:tbl>
    <w:p w14:paraId="6467C5A5" w14:textId="2FBADB20" w:rsidR="00141FBB" w:rsidRPr="00225521" w:rsidRDefault="00141FBB" w:rsidP="00141FBB">
      <w:pPr>
        <w:ind w:left="0" w:hanging="2"/>
        <w:jc w:val="center"/>
        <w:rPr>
          <w:sz w:val="24"/>
          <w:szCs w:val="24"/>
          <w:u w:val="single"/>
        </w:rPr>
      </w:pPr>
    </w:p>
    <w:sectPr w:rsidR="00141FBB" w:rsidRPr="00225521">
      <w:headerReference w:type="even" r:id="rId7"/>
      <w:headerReference w:type="default" r:id="rId8"/>
      <w:footerReference w:type="even" r:id="rId9"/>
      <w:footerReference w:type="default" r:id="rId10"/>
      <w:headerReference w:type="first" r:id="rId11"/>
      <w:footerReference w:type="first" r:id="rId12"/>
      <w:pgSz w:w="11907" w:h="16840"/>
      <w:pgMar w:top="1701" w:right="1134" w:bottom="1135" w:left="1134" w:header="284" w:footer="25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63DB2" w14:textId="77777777" w:rsidR="0031263C" w:rsidRDefault="0031263C">
      <w:pPr>
        <w:spacing w:line="240" w:lineRule="auto"/>
        <w:ind w:left="0" w:hanging="2"/>
      </w:pPr>
      <w:r>
        <w:separator/>
      </w:r>
    </w:p>
  </w:endnote>
  <w:endnote w:type="continuationSeparator" w:id="0">
    <w:p w14:paraId="349B3C2E" w14:textId="77777777" w:rsidR="0031263C" w:rsidRDefault="0031263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hnschrift SemiLigh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DE352" w14:textId="77777777" w:rsidR="003F1A54" w:rsidRDefault="003F1A54">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9F899" w14:textId="77777777" w:rsidR="00646FA2" w:rsidRDefault="003F1A54">
    <w:pPr>
      <w:ind w:left="0" w:hanging="2"/>
      <w:jc w:val="center"/>
      <w:rPr>
        <w:sz w:val="18"/>
        <w:szCs w:val="18"/>
      </w:rPr>
    </w:pPr>
    <w:r>
      <w:rPr>
        <w:sz w:val="18"/>
        <w:szCs w:val="18"/>
      </w:rPr>
      <w:t>CNPJ: 05.287.617/0001-53</w:t>
    </w:r>
  </w:p>
  <w:p w14:paraId="0C32E4AB" w14:textId="77777777" w:rsidR="00646FA2" w:rsidRDefault="003F1A54">
    <w:pPr>
      <w:ind w:left="0" w:hanging="2"/>
      <w:jc w:val="center"/>
      <w:rPr>
        <w:sz w:val="18"/>
        <w:szCs w:val="18"/>
      </w:rPr>
    </w:pPr>
    <w:r>
      <w:rPr>
        <w:sz w:val="18"/>
        <w:szCs w:val="18"/>
      </w:rPr>
      <w:t>Rua Coronel Feddersen, 111, Seminário – CEP: 89.190-000 – Taió/SC</w:t>
    </w:r>
  </w:p>
  <w:p w14:paraId="177B3ADB" w14:textId="77777777" w:rsidR="00646FA2" w:rsidRDefault="003F1A54">
    <w:pPr>
      <w:ind w:left="0" w:hanging="2"/>
      <w:jc w:val="center"/>
      <w:rPr>
        <w:sz w:val="18"/>
        <w:szCs w:val="18"/>
      </w:rPr>
    </w:pPr>
    <w:r>
      <w:rPr>
        <w:sz w:val="18"/>
        <w:szCs w:val="18"/>
      </w:rPr>
      <w:t xml:space="preserve">Telefone: (47) 99281-7082 – e-mail: </w:t>
    </w:r>
    <w:hyperlink r:id="rId1">
      <w:r>
        <w:rPr>
          <w:color w:val="0000FF"/>
          <w:sz w:val="18"/>
          <w:szCs w:val="18"/>
          <w:u w:val="single"/>
        </w:rPr>
        <w:t>taioprev@taio.sc.gov.br</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7186F" w14:textId="77777777" w:rsidR="003F1A54" w:rsidRDefault="003F1A54">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12834" w14:textId="77777777" w:rsidR="0031263C" w:rsidRDefault="0031263C">
      <w:pPr>
        <w:spacing w:line="240" w:lineRule="auto"/>
        <w:ind w:left="0" w:hanging="2"/>
      </w:pPr>
      <w:r>
        <w:separator/>
      </w:r>
    </w:p>
  </w:footnote>
  <w:footnote w:type="continuationSeparator" w:id="0">
    <w:p w14:paraId="751F41AF" w14:textId="77777777" w:rsidR="0031263C" w:rsidRDefault="0031263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D0E5C" w14:textId="77777777" w:rsidR="003F1A54" w:rsidRDefault="003F1A54">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F1A0B" w14:textId="77777777" w:rsidR="00646FA2" w:rsidRDefault="003F1A54">
    <w:pPr>
      <w:pBdr>
        <w:top w:val="nil"/>
        <w:left w:val="nil"/>
        <w:bottom w:val="nil"/>
        <w:right w:val="nil"/>
        <w:between w:val="nil"/>
      </w:pBdr>
      <w:tabs>
        <w:tab w:val="center" w:pos="4252"/>
        <w:tab w:val="right" w:pos="8504"/>
        <w:tab w:val="center" w:pos="4819"/>
        <w:tab w:val="right" w:pos="9639"/>
      </w:tabs>
      <w:spacing w:line="240" w:lineRule="auto"/>
      <w:ind w:left="0" w:hanging="2"/>
      <w:rPr>
        <w:color w:val="000000"/>
      </w:rPr>
    </w:pPr>
    <w:r>
      <w:rPr>
        <w:color w:val="000000"/>
      </w:rPr>
      <w:tab/>
    </w:r>
    <w:r>
      <w:rPr>
        <w:noProof/>
      </w:rPr>
      <w:drawing>
        <wp:anchor distT="0" distB="0" distL="0" distR="0" simplePos="0" relativeHeight="251658240" behindDoc="1" locked="0" layoutInCell="1" hidden="0" allowOverlap="1" wp14:anchorId="17EC2742" wp14:editId="59AAD841">
          <wp:simplePos x="0" y="0"/>
          <wp:positionH relativeFrom="column">
            <wp:posOffset>635</wp:posOffset>
          </wp:positionH>
          <wp:positionV relativeFrom="paragraph">
            <wp:posOffset>64135</wp:posOffset>
          </wp:positionV>
          <wp:extent cx="1175385" cy="62928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75385" cy="629285"/>
                  </a:xfrm>
                  <a:prstGeom prst="rect">
                    <a:avLst/>
                  </a:prstGeom>
                  <a:ln/>
                </pic:spPr>
              </pic:pic>
            </a:graphicData>
          </a:graphic>
        </wp:anchor>
      </w:drawing>
    </w:r>
  </w:p>
  <w:p w14:paraId="34F6E480" w14:textId="77777777" w:rsidR="00646FA2" w:rsidRDefault="00646FA2">
    <w:pPr>
      <w:pBdr>
        <w:top w:val="nil"/>
        <w:left w:val="nil"/>
        <w:bottom w:val="nil"/>
        <w:right w:val="nil"/>
        <w:between w:val="nil"/>
      </w:pBdr>
      <w:tabs>
        <w:tab w:val="center" w:pos="4252"/>
        <w:tab w:val="right" w:pos="8504"/>
        <w:tab w:val="center" w:pos="4819"/>
        <w:tab w:val="right" w:pos="9639"/>
      </w:tabs>
      <w:spacing w:line="240" w:lineRule="auto"/>
      <w:ind w:left="0" w:hanging="2"/>
      <w:rPr>
        <w:color w:val="000000"/>
      </w:rPr>
    </w:pPr>
  </w:p>
  <w:p w14:paraId="7EA8C76E" w14:textId="77777777" w:rsidR="00646FA2" w:rsidRDefault="003F1A54">
    <w:pPr>
      <w:pBdr>
        <w:top w:val="nil"/>
        <w:left w:val="nil"/>
        <w:bottom w:val="nil"/>
        <w:right w:val="nil"/>
        <w:between w:val="nil"/>
      </w:pBdr>
      <w:tabs>
        <w:tab w:val="center" w:pos="4252"/>
        <w:tab w:val="right" w:pos="8504"/>
        <w:tab w:val="center" w:pos="4819"/>
        <w:tab w:val="right" w:pos="9639"/>
      </w:tabs>
      <w:spacing w:line="240" w:lineRule="auto"/>
      <w:ind w:left="1" w:hanging="3"/>
      <w:jc w:val="center"/>
      <w:rPr>
        <w:rFonts w:ascii="Bahnschrift SemiLight" w:eastAsia="Bahnschrift SemiLight" w:hAnsi="Bahnschrift SemiLight" w:cs="Bahnschrift SemiLight"/>
        <w:color w:val="000000"/>
        <w:sz w:val="32"/>
        <w:szCs w:val="32"/>
      </w:rPr>
    </w:pPr>
    <w:r>
      <w:rPr>
        <w:rFonts w:ascii="Bahnschrift SemiLight" w:eastAsia="Bahnschrift SemiLight" w:hAnsi="Bahnschrift SemiLight" w:cs="Bahnschrift SemiLight"/>
        <w:color w:val="000000"/>
        <w:sz w:val="32"/>
        <w:szCs w:val="32"/>
      </w:rPr>
      <w:t>COMITÊ DE INVESTIMENTOS</w:t>
    </w:r>
  </w:p>
  <w:p w14:paraId="2BF7CB5C" w14:textId="77777777" w:rsidR="00646FA2" w:rsidRDefault="003F1A54">
    <w:pPr>
      <w:pBdr>
        <w:top w:val="nil"/>
        <w:left w:val="nil"/>
        <w:bottom w:val="nil"/>
        <w:right w:val="nil"/>
        <w:between w:val="nil"/>
      </w:pBdr>
      <w:tabs>
        <w:tab w:val="center" w:pos="4252"/>
        <w:tab w:val="right" w:pos="8504"/>
        <w:tab w:val="center" w:pos="4819"/>
        <w:tab w:val="right" w:pos="9639"/>
      </w:tabs>
      <w:spacing w:line="240" w:lineRule="auto"/>
      <w:ind w:left="0" w:hanging="2"/>
      <w:jc w:val="center"/>
      <w:rPr>
        <w:color w:val="000000"/>
      </w:rPr>
    </w:pPr>
    <w:r>
      <w:rPr>
        <w:color w:val="000000"/>
      </w:rPr>
      <w:t xml:space="preserve"> </w:t>
    </w:r>
    <w:r>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C5308" w14:textId="77777777" w:rsidR="003F1A54" w:rsidRDefault="003F1A54">
    <w:pPr>
      <w:pStyle w:val="Cabealh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FA2"/>
    <w:rsid w:val="00086068"/>
    <w:rsid w:val="0008693A"/>
    <w:rsid w:val="0009357B"/>
    <w:rsid w:val="000B68E3"/>
    <w:rsid w:val="0011553B"/>
    <w:rsid w:val="00117497"/>
    <w:rsid w:val="00132465"/>
    <w:rsid w:val="00141FBB"/>
    <w:rsid w:val="001569EF"/>
    <w:rsid w:val="00163875"/>
    <w:rsid w:val="0018707C"/>
    <w:rsid w:val="001B086D"/>
    <w:rsid w:val="001B2925"/>
    <w:rsid w:val="001F7645"/>
    <w:rsid w:val="002057BD"/>
    <w:rsid w:val="00225521"/>
    <w:rsid w:val="0027183F"/>
    <w:rsid w:val="00297258"/>
    <w:rsid w:val="002C5181"/>
    <w:rsid w:val="002F4063"/>
    <w:rsid w:val="002F4340"/>
    <w:rsid w:val="003073ED"/>
    <w:rsid w:val="0031263C"/>
    <w:rsid w:val="00314AA6"/>
    <w:rsid w:val="00355E94"/>
    <w:rsid w:val="00366C8A"/>
    <w:rsid w:val="00370F71"/>
    <w:rsid w:val="00395894"/>
    <w:rsid w:val="003A6154"/>
    <w:rsid w:val="003F1A54"/>
    <w:rsid w:val="003F7978"/>
    <w:rsid w:val="004414FA"/>
    <w:rsid w:val="00461545"/>
    <w:rsid w:val="0047572C"/>
    <w:rsid w:val="004C31D0"/>
    <w:rsid w:val="004F3A33"/>
    <w:rsid w:val="00560B20"/>
    <w:rsid w:val="0059783E"/>
    <w:rsid w:val="005B61BB"/>
    <w:rsid w:val="005F04F2"/>
    <w:rsid w:val="0062569C"/>
    <w:rsid w:val="00646FA2"/>
    <w:rsid w:val="006577AF"/>
    <w:rsid w:val="00680515"/>
    <w:rsid w:val="0068106A"/>
    <w:rsid w:val="006A22D1"/>
    <w:rsid w:val="006A35AF"/>
    <w:rsid w:val="006A496A"/>
    <w:rsid w:val="00705BDA"/>
    <w:rsid w:val="0070792B"/>
    <w:rsid w:val="00742FBF"/>
    <w:rsid w:val="00761E0C"/>
    <w:rsid w:val="00773080"/>
    <w:rsid w:val="007827EA"/>
    <w:rsid w:val="007B0F3A"/>
    <w:rsid w:val="007C09B5"/>
    <w:rsid w:val="007D4A62"/>
    <w:rsid w:val="007F2461"/>
    <w:rsid w:val="008148D4"/>
    <w:rsid w:val="008576D7"/>
    <w:rsid w:val="00885091"/>
    <w:rsid w:val="008852FF"/>
    <w:rsid w:val="00896024"/>
    <w:rsid w:val="008A6623"/>
    <w:rsid w:val="008B4BFA"/>
    <w:rsid w:val="008C2D98"/>
    <w:rsid w:val="008D4E60"/>
    <w:rsid w:val="008E6D80"/>
    <w:rsid w:val="009109FF"/>
    <w:rsid w:val="00913ADA"/>
    <w:rsid w:val="009203D3"/>
    <w:rsid w:val="00921813"/>
    <w:rsid w:val="00933D29"/>
    <w:rsid w:val="00940C57"/>
    <w:rsid w:val="00973B4B"/>
    <w:rsid w:val="00994A5F"/>
    <w:rsid w:val="009A2E96"/>
    <w:rsid w:val="009D2B74"/>
    <w:rsid w:val="009D4147"/>
    <w:rsid w:val="009D65CF"/>
    <w:rsid w:val="009D7B64"/>
    <w:rsid w:val="00A04FF1"/>
    <w:rsid w:val="00A31D4C"/>
    <w:rsid w:val="00A37FD3"/>
    <w:rsid w:val="00A710F7"/>
    <w:rsid w:val="00A84277"/>
    <w:rsid w:val="00A93237"/>
    <w:rsid w:val="00AB0B1A"/>
    <w:rsid w:val="00AD54EE"/>
    <w:rsid w:val="00AE5F76"/>
    <w:rsid w:val="00B06639"/>
    <w:rsid w:val="00B7479D"/>
    <w:rsid w:val="00BD5933"/>
    <w:rsid w:val="00C06AA2"/>
    <w:rsid w:val="00C265BF"/>
    <w:rsid w:val="00C54200"/>
    <w:rsid w:val="00C93F76"/>
    <w:rsid w:val="00CC7CF2"/>
    <w:rsid w:val="00CD4D23"/>
    <w:rsid w:val="00CE3103"/>
    <w:rsid w:val="00CE531E"/>
    <w:rsid w:val="00D332C2"/>
    <w:rsid w:val="00D435BC"/>
    <w:rsid w:val="00DC7C58"/>
    <w:rsid w:val="00DE7F8A"/>
    <w:rsid w:val="00E52543"/>
    <w:rsid w:val="00E54754"/>
    <w:rsid w:val="00E850FA"/>
    <w:rsid w:val="00E85C64"/>
    <w:rsid w:val="00E963DF"/>
    <w:rsid w:val="00EB6AB9"/>
    <w:rsid w:val="00EE4287"/>
    <w:rsid w:val="00EF5CD3"/>
    <w:rsid w:val="00F14922"/>
    <w:rsid w:val="00F27BC5"/>
    <w:rsid w:val="00F4161F"/>
    <w:rsid w:val="00F7363F"/>
    <w:rsid w:val="00FC63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D3C24"/>
  <w15:docId w15:val="{BD38A0CA-B5EE-4C7C-912E-C1230CE05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uiPriority w:val="9"/>
    <w:qFormat/>
    <w:pPr>
      <w:keepNext/>
      <w:spacing w:before="240" w:after="60"/>
    </w:pPr>
    <w:rPr>
      <w:rFonts w:ascii="Calibri Light" w:hAnsi="Calibri Light"/>
      <w:b/>
      <w:bCs/>
      <w:kern w:val="32"/>
      <w:sz w:val="32"/>
      <w:szCs w:val="32"/>
    </w:rPr>
  </w:style>
  <w:style w:type="paragraph" w:styleId="Ttulo2">
    <w:name w:val="heading 2"/>
    <w:basedOn w:val="Normal"/>
    <w:next w:val="Normal"/>
    <w:uiPriority w:val="9"/>
    <w:semiHidden/>
    <w:unhideWhenUsed/>
    <w:qFormat/>
    <w:pPr>
      <w:keepNext/>
      <w:spacing w:before="240" w:after="60"/>
      <w:outlineLvl w:val="1"/>
    </w:pPr>
    <w:rPr>
      <w:rFonts w:ascii="Calibri Light" w:hAnsi="Calibri Light"/>
      <w:b/>
      <w:bCs/>
      <w:i/>
      <w:iCs/>
      <w:sz w:val="28"/>
      <w:szCs w:val="28"/>
    </w:rPr>
  </w:style>
  <w:style w:type="paragraph" w:styleId="Ttulo3">
    <w:name w:val="heading 3"/>
    <w:basedOn w:val="Normal"/>
    <w:next w:val="Normal"/>
    <w:uiPriority w:val="9"/>
    <w:semiHidden/>
    <w:unhideWhenUsed/>
    <w:qFormat/>
    <w:pPr>
      <w:keepNext/>
      <w:spacing w:before="240" w:after="60"/>
      <w:outlineLvl w:val="2"/>
    </w:pPr>
    <w:rPr>
      <w:rFonts w:ascii="Calibri Light" w:hAnsi="Calibri Light"/>
      <w:b/>
      <w:bCs/>
      <w:sz w:val="26"/>
      <w:szCs w:val="26"/>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paragraph" w:styleId="Textodebalo">
    <w:name w:val="Balloon Text"/>
    <w:basedOn w:val="Normal"/>
    <w:rPr>
      <w:rFonts w:ascii="Tahoma" w:hAnsi="Tahoma" w:cs="Tahoma"/>
      <w:sz w:val="16"/>
      <w:szCs w:val="16"/>
    </w:rPr>
  </w:style>
  <w:style w:type="character" w:customStyle="1" w:styleId="CabealhoChar">
    <w:name w:val="Cabeçalho Char"/>
    <w:basedOn w:val="Fontepargpadro"/>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customStyle="1" w:styleId="RodapChar">
    <w:name w:val="Rodapé Char"/>
    <w:basedOn w:val="Fontepargpadro"/>
    <w:rPr>
      <w:w w:val="100"/>
      <w:position w:val="-1"/>
      <w:effect w:val="none"/>
      <w:vertAlign w:val="baseline"/>
      <w:cs w:val="0"/>
      <w:em w:val="none"/>
    </w:rPr>
  </w:style>
  <w:style w:type="paragraph" w:styleId="PargrafodaLista">
    <w:name w:val="List Paragraph"/>
    <w:basedOn w:val="Normal"/>
    <w:pPr>
      <w:spacing w:before="100" w:beforeAutospacing="1" w:after="100" w:afterAutospacing="1"/>
    </w:pPr>
    <w:rPr>
      <w:sz w:val="24"/>
      <w:szCs w:val="24"/>
    </w:rPr>
  </w:style>
  <w:style w:type="paragraph" w:styleId="NormalWeb">
    <w:name w:val="Normal (Web)"/>
    <w:basedOn w:val="Normal"/>
    <w:qFormat/>
    <w:pPr>
      <w:spacing w:before="100" w:beforeAutospacing="1" w:after="100" w:afterAutospacing="1"/>
    </w:pPr>
    <w:rPr>
      <w:sz w:val="24"/>
      <w:szCs w:val="24"/>
    </w:rPr>
  </w:style>
  <w:style w:type="character" w:customStyle="1" w:styleId="info">
    <w:name w:val="info"/>
    <w:rPr>
      <w:w w:val="100"/>
      <w:position w:val="-1"/>
      <w:effect w:val="none"/>
      <w:vertAlign w:val="baseline"/>
      <w:cs w:val="0"/>
      <w:em w:val="none"/>
    </w:rPr>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
    <w:name w:val="Body Text"/>
    <w:basedOn w:val="Normal"/>
    <w:pPr>
      <w:jc w:val="both"/>
    </w:pPr>
    <w:rPr>
      <w:rFonts w:ascii="Arial" w:hAnsi="Arial" w:cs="Arial"/>
      <w:b/>
      <w:bCs/>
      <w:szCs w:val="24"/>
      <w:lang w:eastAsia="en-US"/>
    </w:rPr>
  </w:style>
  <w:style w:type="character" w:customStyle="1" w:styleId="CorpodetextoChar">
    <w:name w:val="Corpo de texto Char"/>
    <w:rPr>
      <w:rFonts w:ascii="Arial" w:hAnsi="Arial" w:cs="Arial"/>
      <w:b/>
      <w:bCs/>
      <w:w w:val="100"/>
      <w:position w:val="-1"/>
      <w:szCs w:val="24"/>
      <w:effect w:val="none"/>
      <w:vertAlign w:val="baseline"/>
      <w:cs w:val="0"/>
      <w:em w:val="none"/>
      <w:lang w:eastAsia="en-US"/>
    </w:rPr>
  </w:style>
  <w:style w:type="character" w:styleId="HiperlinkVisitado">
    <w:name w:val="FollowedHyperlink"/>
    <w:rPr>
      <w:color w:val="800080"/>
      <w:w w:val="100"/>
      <w:position w:val="-1"/>
      <w:u w:val="single"/>
      <w:effect w:val="none"/>
      <w:vertAlign w:val="baseline"/>
      <w:cs w:val="0"/>
      <w:em w:val="none"/>
    </w:rPr>
  </w:style>
  <w:style w:type="paragraph" w:customStyle="1" w:styleId="m-7471141772192344144msolistparagraph">
    <w:name w:val="m_-7471141772192344144msolistparagraph"/>
    <w:basedOn w:val="Normal"/>
    <w:pPr>
      <w:spacing w:before="100" w:beforeAutospacing="1" w:after="100" w:afterAutospacing="1"/>
    </w:pPr>
    <w:rPr>
      <w:sz w:val="24"/>
      <w:szCs w:val="24"/>
    </w:rPr>
  </w:style>
  <w:style w:type="character" w:customStyle="1" w:styleId="linkpg">
    <w:name w:val="linkpg"/>
    <w:rPr>
      <w:w w:val="100"/>
      <w:position w:val="-1"/>
      <w:effect w:val="none"/>
      <w:vertAlign w:val="baseline"/>
      <w:cs w:val="0"/>
      <w:em w:val="none"/>
    </w:rPr>
  </w:style>
  <w:style w:type="character" w:customStyle="1" w:styleId="Ttulo2Char">
    <w:name w:val="Título 2 Char"/>
    <w:rPr>
      <w:rFonts w:ascii="Calibri Light" w:eastAsia="Times New Roman" w:hAnsi="Calibri Light" w:cs="Times New Roman"/>
      <w:b/>
      <w:bCs/>
      <w:i/>
      <w:iCs/>
      <w:w w:val="100"/>
      <w:position w:val="-1"/>
      <w:sz w:val="28"/>
      <w:szCs w:val="28"/>
      <w:effect w:val="none"/>
      <w:vertAlign w:val="baseline"/>
      <w:cs w:val="0"/>
      <w:em w:val="none"/>
    </w:rPr>
  </w:style>
  <w:style w:type="character" w:customStyle="1" w:styleId="Ttulo3Char">
    <w:name w:val="Título 3 Char"/>
    <w:rPr>
      <w:rFonts w:ascii="Calibri Light" w:eastAsia="Times New Roman" w:hAnsi="Calibri Light" w:cs="Times New Roman"/>
      <w:b/>
      <w:bCs/>
      <w:w w:val="100"/>
      <w:position w:val="-1"/>
      <w:sz w:val="26"/>
      <w:szCs w:val="26"/>
      <w:effect w:val="none"/>
      <w:vertAlign w:val="baseline"/>
      <w:cs w:val="0"/>
      <w:em w:val="none"/>
    </w:rPr>
  </w:style>
  <w:style w:type="character" w:customStyle="1" w:styleId="Ttulo1Char">
    <w:name w:val="Título 1 Char"/>
    <w:rPr>
      <w:rFonts w:ascii="Calibri Light" w:eastAsia="Times New Roman" w:hAnsi="Calibri Light" w:cs="Times New Roman"/>
      <w:b/>
      <w:bCs/>
      <w:w w:val="100"/>
      <w:kern w:val="32"/>
      <w:position w:val="-1"/>
      <w:sz w:val="32"/>
      <w:szCs w:val="32"/>
      <w:effect w:val="none"/>
      <w:vertAlign w:val="baseline"/>
      <w:cs w:val="0"/>
      <w:em w:val="none"/>
    </w:rPr>
  </w:style>
  <w:style w:type="table" w:customStyle="1" w:styleId="TableNormal0">
    <w:name w:val="Table Normal"/>
    <w:next w:val="TableNormal"/>
    <w:qFormat/>
    <w:pPr>
      <w:widowControl w:val="0"/>
      <w:suppressAutoHyphens/>
      <w:autoSpaceDE w:val="0"/>
      <w:autoSpaceDN w:val="0"/>
      <w:spacing w:line="1" w:lineRule="atLeast"/>
      <w:ind w:leftChars="-1" w:left="-1" w:hangingChars="1" w:hanging="1"/>
      <w:textDirection w:val="btLr"/>
      <w:textAlignment w:val="top"/>
      <w:outlineLvl w:val="0"/>
    </w:pPr>
    <w:rPr>
      <w:rFonts w:ascii="Calibri" w:eastAsia="Calibri" w:hAnsi="Calibri"/>
      <w:position w:val="-1"/>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pPr>
      <w:widowControl w:val="0"/>
      <w:autoSpaceDE w:val="0"/>
      <w:autoSpaceDN w:val="0"/>
    </w:pPr>
    <w:rPr>
      <w:rFonts w:ascii="Calibri" w:eastAsia="Calibri" w:hAnsi="Calibri" w:cs="Calibri"/>
      <w:sz w:val="22"/>
      <w:szCs w:val="22"/>
      <w:lang w:val="pt-PT" w:eastAsia="en-US"/>
    </w:rPr>
  </w:style>
  <w:style w:type="table" w:styleId="TabeladeGrade3-nfase6">
    <w:name w:val="Grid Table 3 Accent 6"/>
    <w:basedOn w:val="Tabela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styleId="SimplesTabela1">
    <w:name w:val="Plain Table 1"/>
    <w:basedOn w:val="Tabelanormal"/>
    <w:uiPriority w:val="41"/>
    <w:rsid w:val="00141FB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4">
    <w:name w:val="Plain Table 4"/>
    <w:basedOn w:val="Tabelanormal"/>
    <w:uiPriority w:val="44"/>
    <w:rsid w:val="00141FB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1Clara">
    <w:name w:val="Grid Table 1 Light"/>
    <w:basedOn w:val="Tabelanormal"/>
    <w:uiPriority w:val="46"/>
    <w:rsid w:val="00141FB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Lista3-nfase5">
    <w:name w:val="List Table 3 Accent 5"/>
    <w:basedOn w:val="Tabelanormal"/>
    <w:uiPriority w:val="48"/>
    <w:rsid w:val="00141FBB"/>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eladeGrade4-nfase5">
    <w:name w:val="Grid Table 4 Accent 5"/>
    <w:basedOn w:val="Tabelanormal"/>
    <w:uiPriority w:val="49"/>
    <w:rsid w:val="0022552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904622">
      <w:bodyDiv w:val="1"/>
      <w:marLeft w:val="0"/>
      <w:marRight w:val="0"/>
      <w:marTop w:val="0"/>
      <w:marBottom w:val="0"/>
      <w:divBdr>
        <w:top w:val="none" w:sz="0" w:space="0" w:color="auto"/>
        <w:left w:val="none" w:sz="0" w:space="0" w:color="auto"/>
        <w:bottom w:val="none" w:sz="0" w:space="0" w:color="auto"/>
        <w:right w:val="none" w:sz="0" w:space="0" w:color="auto"/>
      </w:divBdr>
    </w:div>
    <w:div w:id="1684934830">
      <w:bodyDiv w:val="1"/>
      <w:marLeft w:val="0"/>
      <w:marRight w:val="0"/>
      <w:marTop w:val="0"/>
      <w:marBottom w:val="0"/>
      <w:divBdr>
        <w:top w:val="none" w:sz="0" w:space="0" w:color="auto"/>
        <w:left w:val="none" w:sz="0" w:space="0" w:color="auto"/>
        <w:bottom w:val="none" w:sz="0" w:space="0" w:color="auto"/>
        <w:right w:val="none" w:sz="0" w:space="0" w:color="auto"/>
      </w:divBdr>
    </w:div>
    <w:div w:id="1731810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taioprev@taio.sc.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Xve6hfSv0gLUb5RfBoW68N2N9Q==">CgMxLjA4AHIhMV92S3Z0RDZWLUVKMDk3ZHhXNkdsZmVqdkF6UjdFU0pL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1391</Words>
  <Characters>7515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Sérgio Valmor Chicato</dc:creator>
  <cp:lastModifiedBy>Usuário</cp:lastModifiedBy>
  <cp:revision>3</cp:revision>
  <cp:lastPrinted>2024-03-22T11:39:00Z</cp:lastPrinted>
  <dcterms:created xsi:type="dcterms:W3CDTF">2024-10-23T17:58:00Z</dcterms:created>
  <dcterms:modified xsi:type="dcterms:W3CDTF">2024-10-24T13:43:00Z</dcterms:modified>
</cp:coreProperties>
</file>